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634B1" w14:textId="77777777" w:rsidR="00DB1F97" w:rsidRPr="00DB1F97" w:rsidRDefault="00DB1F97" w:rsidP="00DB1F97">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DB1F97">
        <w:rPr>
          <w:rFonts w:asciiTheme="majorHAnsi" w:eastAsiaTheme="majorEastAsia" w:hAnsiTheme="majorHAnsi" w:cstheme="majorBidi"/>
          <w:color w:val="2F5496" w:themeColor="accent1" w:themeShade="BF"/>
          <w:sz w:val="40"/>
          <w:szCs w:val="40"/>
        </w:rPr>
        <w:t>Step overview</w:t>
      </w:r>
    </w:p>
    <w:p w14:paraId="092026D9" w14:textId="77777777" w:rsidR="00DB1F97" w:rsidRPr="00DB1F97" w:rsidRDefault="00DB1F97" w:rsidP="00DB1F97">
      <w:pPr>
        <w:spacing w:after="0" w:line="240" w:lineRule="auto"/>
        <w:rPr>
          <w:sz w:val="24"/>
          <w:szCs w:val="24"/>
        </w:rPr>
      </w:pPr>
    </w:p>
    <w:tbl>
      <w:tblPr>
        <w:tblStyle w:val="GridTable1Light"/>
        <w:tblW w:w="8926" w:type="dxa"/>
        <w:tblLook w:val="0400" w:firstRow="0" w:lastRow="0" w:firstColumn="0" w:lastColumn="0" w:noHBand="0" w:noVBand="1"/>
      </w:tblPr>
      <w:tblGrid>
        <w:gridCol w:w="2122"/>
        <w:gridCol w:w="6804"/>
      </w:tblGrid>
      <w:tr w:rsidR="00DB1F97" w:rsidRPr="00DB1F97" w14:paraId="0B341170" w14:textId="77777777" w:rsidTr="00314DB3">
        <w:trPr>
          <w:trHeight w:val="399"/>
        </w:trPr>
        <w:tc>
          <w:tcPr>
            <w:tcW w:w="2122" w:type="dxa"/>
            <w:shd w:val="clear" w:color="auto" w:fill="44546A" w:themeFill="text2"/>
          </w:tcPr>
          <w:p w14:paraId="317EFD52" w14:textId="77777777" w:rsidR="00DB1F97" w:rsidRPr="005A696C" w:rsidRDefault="00DB1F97" w:rsidP="00DB1F97">
            <w:pPr>
              <w:spacing w:before="120" w:after="120"/>
              <w:rPr>
                <w:rFonts w:ascii="Aptos" w:eastAsia="Times New Roman" w:hAnsi="Aptos" w:cs="Times New Roman"/>
                <w:b/>
                <w:bCs/>
                <w:color w:val="FFFFFF" w:themeColor="background1"/>
                <w:kern w:val="0"/>
                <w:sz w:val="20"/>
                <w:szCs w:val="20"/>
                <w:lang w:eastAsia="en-GB"/>
                <w14:ligatures w14:val="none"/>
              </w:rPr>
            </w:pPr>
            <w:r w:rsidRPr="005A696C">
              <w:rPr>
                <w:rFonts w:ascii="Aptos" w:eastAsia="Times New Roman" w:hAnsi="Aptos" w:cs="Times New Roman"/>
                <w:b/>
                <w:bCs/>
                <w:color w:val="FFFFFF" w:themeColor="background1"/>
                <w:kern w:val="0"/>
                <w:sz w:val="20"/>
                <w:szCs w:val="20"/>
                <w:lang w:eastAsia="en-GB"/>
                <w14:ligatures w14:val="none"/>
              </w:rPr>
              <w:t>Sub-area</w:t>
            </w:r>
          </w:p>
        </w:tc>
        <w:tc>
          <w:tcPr>
            <w:tcW w:w="6804" w:type="dxa"/>
            <w:shd w:val="clear" w:color="auto" w:fill="EAEDF1" w:themeFill="text2" w:themeFillTint="1A"/>
          </w:tcPr>
          <w:p w14:paraId="6FC8F38B" w14:textId="34A3F345" w:rsidR="00DB1F97" w:rsidRPr="00DB1F97" w:rsidRDefault="006E4FF5" w:rsidP="00DB1F97">
            <w:pPr>
              <w:spacing w:before="120" w:after="120"/>
              <w:rPr>
                <w:rFonts w:ascii="Aptos" w:eastAsia="Times New Roman" w:hAnsi="Aptos" w:cs="Times New Roman"/>
                <w:b/>
                <w:bCs/>
                <w:color w:val="000000"/>
                <w:kern w:val="0"/>
                <w:sz w:val="20"/>
                <w:szCs w:val="20"/>
                <w:lang w:eastAsia="en-GB"/>
                <w14:ligatures w14:val="none"/>
              </w:rPr>
            </w:pPr>
            <w:r w:rsidRPr="006E4FF5">
              <w:rPr>
                <w:rFonts w:ascii="Aptos" w:eastAsia="Times New Roman" w:hAnsi="Aptos" w:cs="Times New Roman"/>
                <w:b/>
                <w:bCs/>
                <w:color w:val="000000"/>
                <w:kern w:val="0"/>
                <w:sz w:val="20"/>
                <w:szCs w:val="20"/>
                <w:lang w:eastAsia="en-GB"/>
                <w14:ligatures w14:val="none"/>
              </w:rPr>
              <w:t>9.2. Fundamental rights</w:t>
            </w:r>
          </w:p>
        </w:tc>
      </w:tr>
      <w:tr w:rsidR="005C038D" w:rsidRPr="00DB1F97" w14:paraId="1514861A" w14:textId="77777777" w:rsidTr="00314DB3">
        <w:trPr>
          <w:trHeight w:val="393"/>
        </w:trPr>
        <w:tc>
          <w:tcPr>
            <w:tcW w:w="2122" w:type="dxa"/>
            <w:shd w:val="clear" w:color="auto" w:fill="44546A" w:themeFill="text2"/>
          </w:tcPr>
          <w:p w14:paraId="678DA591" w14:textId="77777777" w:rsidR="005C038D" w:rsidRPr="005A696C" w:rsidRDefault="005C038D" w:rsidP="005C038D">
            <w:pPr>
              <w:spacing w:before="120" w:after="120"/>
              <w:rPr>
                <w:rFonts w:ascii="Aptos" w:eastAsia="Times New Roman" w:hAnsi="Aptos" w:cs="Times New Roman"/>
                <w:b/>
                <w:bCs/>
                <w:color w:val="FFFFFF" w:themeColor="background1"/>
                <w:kern w:val="0"/>
                <w:sz w:val="20"/>
                <w:szCs w:val="20"/>
                <w:lang w:eastAsia="en-GB"/>
                <w14:ligatures w14:val="none"/>
              </w:rPr>
            </w:pPr>
            <w:r w:rsidRPr="005A696C">
              <w:rPr>
                <w:rFonts w:ascii="Aptos" w:eastAsia="Times New Roman" w:hAnsi="Aptos" w:cs="Times New Roman"/>
                <w:b/>
                <w:bCs/>
                <w:color w:val="FFFFFF" w:themeColor="background1"/>
                <w:kern w:val="0"/>
                <w:sz w:val="20"/>
                <w:szCs w:val="20"/>
                <w:lang w:eastAsia="en-GB"/>
                <w14:ligatures w14:val="none"/>
              </w:rPr>
              <w:t>Reform</w:t>
            </w:r>
          </w:p>
        </w:tc>
        <w:tc>
          <w:tcPr>
            <w:tcW w:w="6804" w:type="dxa"/>
            <w:shd w:val="clear" w:color="auto" w:fill="EAEDF1" w:themeFill="text2" w:themeFillTint="1A"/>
          </w:tcPr>
          <w:p w14:paraId="40158823" w14:textId="44F2269B" w:rsidR="005C038D" w:rsidRPr="005C038D" w:rsidRDefault="005C038D" w:rsidP="005C038D">
            <w:pPr>
              <w:spacing w:before="120" w:after="120"/>
              <w:rPr>
                <w:rFonts w:ascii="Aptos" w:eastAsia="Times New Roman" w:hAnsi="Aptos" w:cs="Times New Roman"/>
                <w:b/>
                <w:bCs/>
                <w:color w:val="000000"/>
                <w:kern w:val="0"/>
                <w:sz w:val="20"/>
                <w:szCs w:val="20"/>
                <w:lang w:eastAsia="en-GB"/>
                <w14:ligatures w14:val="none"/>
              </w:rPr>
            </w:pPr>
            <w:r w:rsidRPr="005A696C">
              <w:rPr>
                <w:rFonts w:ascii="Aptos" w:eastAsia="Times New Roman" w:hAnsi="Aptos" w:cs="Times New Roman"/>
                <w:b/>
                <w:bCs/>
                <w:color w:val="000000"/>
                <w:kern w:val="0"/>
                <w:sz w:val="20"/>
                <w:szCs w:val="20"/>
                <w:lang w:eastAsia="en-GB"/>
                <w14:ligatures w14:val="none"/>
              </w:rPr>
              <w:t>9.2.2. Enhance freedom of expression, by amending the laws on electronic media and on public information and media to align with the EU acquis and European standards and by adopting the law on public service media and ensure implementation.</w:t>
            </w:r>
          </w:p>
        </w:tc>
      </w:tr>
      <w:tr w:rsidR="00DB1F97" w:rsidRPr="00DB1F97" w14:paraId="551BDD61" w14:textId="77777777" w:rsidTr="00314DB3">
        <w:trPr>
          <w:trHeight w:val="393"/>
        </w:trPr>
        <w:tc>
          <w:tcPr>
            <w:tcW w:w="2122" w:type="dxa"/>
            <w:shd w:val="clear" w:color="auto" w:fill="44546A" w:themeFill="text2"/>
          </w:tcPr>
          <w:p w14:paraId="4F694FB0" w14:textId="77777777" w:rsidR="00DB1F97" w:rsidRPr="005A696C" w:rsidRDefault="00DB1F97" w:rsidP="00DB1F97">
            <w:pPr>
              <w:spacing w:before="120" w:after="120"/>
              <w:rPr>
                <w:rFonts w:ascii="Aptos" w:eastAsia="Times New Roman" w:hAnsi="Aptos" w:cs="Times New Roman"/>
                <w:b/>
                <w:bCs/>
                <w:color w:val="FFFFFF" w:themeColor="background1"/>
                <w:kern w:val="0"/>
                <w:sz w:val="20"/>
                <w:szCs w:val="20"/>
                <w:lang w:eastAsia="en-GB"/>
                <w14:ligatures w14:val="none"/>
              </w:rPr>
            </w:pPr>
            <w:r w:rsidRPr="005A696C">
              <w:rPr>
                <w:rFonts w:ascii="Aptos" w:eastAsia="Times New Roman" w:hAnsi="Aptos" w:cs="Times New Roman"/>
                <w:b/>
                <w:bCs/>
                <w:color w:val="FFFFFF" w:themeColor="background1"/>
                <w:kern w:val="0"/>
                <w:sz w:val="20"/>
                <w:szCs w:val="20"/>
                <w:lang w:eastAsia="en-GB"/>
                <w14:ligatures w14:val="none"/>
              </w:rPr>
              <w:t>Reporting indicator</w:t>
            </w:r>
          </w:p>
        </w:tc>
        <w:tc>
          <w:tcPr>
            <w:tcW w:w="6804" w:type="dxa"/>
            <w:shd w:val="clear" w:color="auto" w:fill="EAEDF1" w:themeFill="text2" w:themeFillTint="1A"/>
          </w:tcPr>
          <w:p w14:paraId="1622EE47" w14:textId="4FF527C3" w:rsidR="00DB1F97" w:rsidRPr="00DB1F97" w:rsidRDefault="006E4FF5" w:rsidP="00DB1F97">
            <w:pPr>
              <w:rPr>
                <w:rFonts w:ascii="Aptos" w:eastAsia="Times New Roman" w:hAnsi="Aptos" w:cs="Times New Roman"/>
                <w:color w:val="000000"/>
                <w:kern w:val="0"/>
                <w:sz w:val="20"/>
                <w:szCs w:val="20"/>
                <w:lang w:eastAsia="en-GB"/>
                <w14:ligatures w14:val="none"/>
              </w:rPr>
            </w:pPr>
            <w:r w:rsidRPr="006E4FF5">
              <w:rPr>
                <w:rFonts w:ascii="Aptos" w:eastAsia="Times New Roman" w:hAnsi="Aptos" w:cs="Times New Roman"/>
                <w:color w:val="000000"/>
                <w:kern w:val="0"/>
                <w:sz w:val="20"/>
                <w:szCs w:val="20"/>
                <w:lang w:eastAsia="en-GB"/>
                <w14:ligatures w14:val="none"/>
              </w:rPr>
              <w:t>Status of freedom of expression related legislation and its implementation</w:t>
            </w:r>
          </w:p>
        </w:tc>
      </w:tr>
      <w:tr w:rsidR="00DB1F97" w:rsidRPr="00DB1F97" w14:paraId="6A9FDAC4" w14:textId="77777777" w:rsidTr="00314DB3">
        <w:trPr>
          <w:trHeight w:val="759"/>
        </w:trPr>
        <w:tc>
          <w:tcPr>
            <w:tcW w:w="2122" w:type="dxa"/>
            <w:shd w:val="clear" w:color="auto" w:fill="44546A" w:themeFill="text2"/>
          </w:tcPr>
          <w:p w14:paraId="2908A5EF" w14:textId="77777777" w:rsidR="00DB1F97" w:rsidRPr="005A696C" w:rsidRDefault="00DB1F97" w:rsidP="00DB1F97">
            <w:pPr>
              <w:spacing w:before="120" w:after="120"/>
              <w:rPr>
                <w:rFonts w:ascii="Aptos" w:eastAsia="Times New Roman" w:hAnsi="Aptos" w:cs="Times New Roman"/>
                <w:b/>
                <w:bCs/>
                <w:color w:val="FFFFFF" w:themeColor="background1"/>
                <w:kern w:val="0"/>
                <w:sz w:val="20"/>
                <w:szCs w:val="20"/>
                <w:lang w:eastAsia="en-GB"/>
                <w14:ligatures w14:val="none"/>
              </w:rPr>
            </w:pPr>
            <w:r w:rsidRPr="005A696C">
              <w:rPr>
                <w:rFonts w:ascii="Aptos" w:eastAsia="Times New Roman" w:hAnsi="Aptos" w:cs="Times New Roman"/>
                <w:b/>
                <w:bCs/>
                <w:color w:val="FFFFFF" w:themeColor="background1"/>
                <w:kern w:val="0"/>
                <w:sz w:val="20"/>
                <w:szCs w:val="20"/>
                <w:lang w:eastAsia="en-GB"/>
                <w14:ligatures w14:val="none"/>
              </w:rPr>
              <w:t>Reform Step</w:t>
            </w:r>
          </w:p>
        </w:tc>
        <w:tc>
          <w:tcPr>
            <w:tcW w:w="6804" w:type="dxa"/>
          </w:tcPr>
          <w:p w14:paraId="1FD2875E" w14:textId="3DACFAD2" w:rsidR="00DB1F97" w:rsidRPr="00DB1F97" w:rsidRDefault="00DB1F97" w:rsidP="00DB1F97">
            <w:pPr>
              <w:spacing w:before="120" w:after="120"/>
              <w:rPr>
                <w:rFonts w:ascii="Aptos" w:eastAsia="Times New Roman" w:hAnsi="Aptos" w:cs="Times New Roman"/>
                <w:color w:val="000000"/>
                <w:kern w:val="0"/>
                <w:sz w:val="20"/>
                <w:szCs w:val="20"/>
                <w:lang w:eastAsia="en-GB"/>
                <w14:ligatures w14:val="none"/>
              </w:rPr>
            </w:pPr>
            <w:r w:rsidRPr="00DB1F97">
              <w:rPr>
                <w:rFonts w:ascii="Aptos" w:eastAsia="Times New Roman" w:hAnsi="Aptos" w:cs="Times New Roman"/>
                <w:color w:val="000000"/>
                <w:kern w:val="0"/>
                <w:sz w:val="20"/>
                <w:szCs w:val="20"/>
                <w:lang w:eastAsia="en-GB"/>
                <w14:ligatures w14:val="none"/>
              </w:rPr>
              <w:t>1. The three following laws are adopted, following consultations with the Commission: The law on electronic media and the law on public information and media are amended to align fully with the EU acquis and Council of Europe’s standards; a new law on public service media is adopted in line with the media strategy, the EU acquis and Council of Europe’s standards</w:t>
            </w:r>
          </w:p>
        </w:tc>
      </w:tr>
      <w:tr w:rsidR="00DB1F97" w:rsidRPr="00DB1F97" w14:paraId="17BB135B" w14:textId="77777777" w:rsidTr="00314DB3">
        <w:trPr>
          <w:trHeight w:val="559"/>
        </w:trPr>
        <w:tc>
          <w:tcPr>
            <w:tcW w:w="2122" w:type="dxa"/>
            <w:shd w:val="clear" w:color="auto" w:fill="44546A" w:themeFill="text2"/>
          </w:tcPr>
          <w:p w14:paraId="11988532" w14:textId="77777777" w:rsidR="00DB1F97" w:rsidRPr="005A696C" w:rsidRDefault="00DB1F97" w:rsidP="00DB1F97">
            <w:pPr>
              <w:spacing w:before="120" w:after="120"/>
              <w:rPr>
                <w:rFonts w:ascii="Aptos" w:eastAsia="Times New Roman" w:hAnsi="Aptos" w:cs="Times New Roman"/>
                <w:color w:val="FFFFFF" w:themeColor="background1"/>
                <w:sz w:val="20"/>
                <w:szCs w:val="20"/>
                <w:lang w:eastAsia="en-GB"/>
              </w:rPr>
            </w:pPr>
            <w:r w:rsidRPr="005A696C">
              <w:rPr>
                <w:rFonts w:ascii="Aptos" w:eastAsia="Times New Roman" w:hAnsi="Aptos" w:cs="Times New Roman"/>
                <w:b/>
                <w:bCs/>
                <w:color w:val="FFFFFF" w:themeColor="background1"/>
                <w:kern w:val="0"/>
                <w:sz w:val="20"/>
                <w:szCs w:val="20"/>
                <w:lang w:eastAsia="en-GB"/>
                <w14:ligatures w14:val="none"/>
              </w:rPr>
              <w:t>Step deadline</w:t>
            </w:r>
          </w:p>
        </w:tc>
        <w:tc>
          <w:tcPr>
            <w:tcW w:w="6804" w:type="dxa"/>
          </w:tcPr>
          <w:p w14:paraId="233A8989" w14:textId="7E2CD70E" w:rsidR="00DB1F97" w:rsidRPr="00DB1F97" w:rsidRDefault="00DB1F97" w:rsidP="00DB1F97">
            <w:pPr>
              <w:spacing w:before="120" w:after="120"/>
              <w:rPr>
                <w:rFonts w:ascii="Aptos" w:eastAsia="Times New Roman" w:hAnsi="Aptos" w:cs="Times New Roman"/>
                <w:color w:val="000000"/>
                <w:kern w:val="0"/>
                <w:sz w:val="20"/>
                <w:szCs w:val="20"/>
                <w:lang w:eastAsia="en-GB"/>
                <w14:ligatures w14:val="none"/>
              </w:rPr>
            </w:pPr>
            <w:r w:rsidRPr="00DB1F97">
              <w:rPr>
                <w:rFonts w:ascii="Aptos" w:eastAsia="Times New Roman" w:hAnsi="Aptos" w:cs="Times New Roman"/>
                <w:color w:val="000000"/>
                <w:kern w:val="0"/>
                <w:sz w:val="20"/>
                <w:szCs w:val="20"/>
                <w:lang w:eastAsia="en-GB"/>
                <w14:ligatures w14:val="none"/>
              </w:rPr>
              <w:t>December 202</w:t>
            </w:r>
            <w:r w:rsidR="006E4FF5">
              <w:rPr>
                <w:rFonts w:ascii="Aptos" w:eastAsia="Times New Roman" w:hAnsi="Aptos" w:cs="Times New Roman"/>
                <w:color w:val="000000"/>
                <w:kern w:val="0"/>
                <w:sz w:val="20"/>
                <w:szCs w:val="20"/>
                <w:lang w:eastAsia="en-GB"/>
                <w14:ligatures w14:val="none"/>
              </w:rPr>
              <w:t>4</w:t>
            </w:r>
          </w:p>
        </w:tc>
      </w:tr>
      <w:tr w:rsidR="00DB1F97" w:rsidRPr="00DB1F97" w14:paraId="55F65889" w14:textId="77777777" w:rsidTr="00314DB3">
        <w:trPr>
          <w:trHeight w:val="553"/>
        </w:trPr>
        <w:tc>
          <w:tcPr>
            <w:tcW w:w="2122" w:type="dxa"/>
            <w:shd w:val="clear" w:color="auto" w:fill="44546A" w:themeFill="text2"/>
          </w:tcPr>
          <w:p w14:paraId="7EE24194" w14:textId="77777777" w:rsidR="00DB1F97" w:rsidRPr="005A696C" w:rsidRDefault="00DB1F97" w:rsidP="00DB1F97">
            <w:pPr>
              <w:spacing w:before="120" w:after="120"/>
              <w:rPr>
                <w:rFonts w:ascii="Aptos" w:eastAsia="Times New Roman" w:hAnsi="Aptos" w:cs="Times New Roman"/>
                <w:b/>
                <w:bCs/>
                <w:color w:val="FFFFFF" w:themeColor="background1"/>
                <w:kern w:val="0"/>
                <w:sz w:val="20"/>
                <w:szCs w:val="20"/>
                <w:lang w:eastAsia="en-GB"/>
                <w14:ligatures w14:val="none"/>
              </w:rPr>
            </w:pPr>
            <w:r w:rsidRPr="005A696C">
              <w:rPr>
                <w:rFonts w:ascii="Aptos" w:eastAsia="Times New Roman" w:hAnsi="Aptos" w:cs="Times New Roman"/>
                <w:b/>
                <w:bCs/>
                <w:color w:val="FFFFFF" w:themeColor="background1"/>
                <w:kern w:val="0"/>
                <w:sz w:val="20"/>
                <w:szCs w:val="20"/>
                <w:lang w:eastAsia="en-GB"/>
                <w14:ligatures w14:val="none"/>
              </w:rPr>
              <w:t>Step value in EUR</w:t>
            </w:r>
          </w:p>
        </w:tc>
        <w:tc>
          <w:tcPr>
            <w:tcW w:w="6804" w:type="dxa"/>
          </w:tcPr>
          <w:p w14:paraId="48FABB75" w14:textId="53AF2F2F" w:rsidR="00DB1F97" w:rsidRPr="00DB1F97" w:rsidRDefault="006E4FF5" w:rsidP="00DB1F97">
            <w:pPr>
              <w:spacing w:before="120" w:after="120"/>
              <w:rPr>
                <w:rFonts w:ascii="Aptos" w:eastAsia="Times New Roman" w:hAnsi="Aptos" w:cs="Times New Roman"/>
                <w:color w:val="000000"/>
                <w:kern w:val="0"/>
                <w:sz w:val="20"/>
                <w:szCs w:val="20"/>
                <w:lang w:eastAsia="en-GB"/>
                <w14:ligatures w14:val="none"/>
              </w:rPr>
            </w:pPr>
            <w:r w:rsidRPr="006E4FF5">
              <w:rPr>
                <w:rFonts w:ascii="Aptos" w:eastAsia="Times New Roman" w:hAnsi="Aptos" w:cs="Times New Roman"/>
                <w:color w:val="000000"/>
                <w:kern w:val="0"/>
                <w:sz w:val="20"/>
                <w:szCs w:val="20"/>
                <w:lang w:eastAsia="en-GB"/>
                <w14:ligatures w14:val="none"/>
              </w:rPr>
              <w:t>20.381.435,06</w:t>
            </w:r>
          </w:p>
        </w:tc>
      </w:tr>
      <w:tr w:rsidR="00DB1F97" w:rsidRPr="00DB1F97" w14:paraId="5BAFA5C8" w14:textId="77777777" w:rsidTr="00314DB3">
        <w:trPr>
          <w:trHeight w:val="535"/>
        </w:trPr>
        <w:tc>
          <w:tcPr>
            <w:tcW w:w="2122" w:type="dxa"/>
            <w:shd w:val="clear" w:color="auto" w:fill="44546A" w:themeFill="text2"/>
          </w:tcPr>
          <w:p w14:paraId="66AF6239" w14:textId="77777777" w:rsidR="00DB1F97" w:rsidRPr="005A696C" w:rsidRDefault="00DB1F97" w:rsidP="00DB1F97">
            <w:pPr>
              <w:spacing w:before="120" w:after="120"/>
              <w:rPr>
                <w:rFonts w:ascii="Aptos" w:eastAsia="Times New Roman" w:hAnsi="Aptos" w:cs="Times New Roman"/>
                <w:b/>
                <w:bCs/>
                <w:color w:val="FFFFFF" w:themeColor="background1"/>
                <w:kern w:val="0"/>
                <w:sz w:val="20"/>
                <w:szCs w:val="20"/>
                <w:lang w:eastAsia="en-GB"/>
                <w14:ligatures w14:val="none"/>
              </w:rPr>
            </w:pPr>
            <w:r w:rsidRPr="005A696C">
              <w:rPr>
                <w:rFonts w:ascii="Aptos" w:eastAsia="Times New Roman" w:hAnsi="Aptos" w:cs="Times New Roman"/>
                <w:b/>
                <w:bCs/>
                <w:color w:val="FFFFFF" w:themeColor="background1"/>
                <w:kern w:val="0"/>
                <w:sz w:val="20"/>
                <w:szCs w:val="20"/>
                <w:lang w:eastAsia="en-GB"/>
                <w14:ligatures w14:val="none"/>
              </w:rPr>
              <w:t>Responsible</w:t>
            </w:r>
          </w:p>
        </w:tc>
        <w:tc>
          <w:tcPr>
            <w:tcW w:w="6804" w:type="dxa"/>
          </w:tcPr>
          <w:p w14:paraId="71581878" w14:textId="14C0C467" w:rsidR="00DB1F97" w:rsidRPr="00DB1F97" w:rsidRDefault="006E4FF5" w:rsidP="00DB1F97">
            <w:pPr>
              <w:spacing w:before="120" w:after="120"/>
              <w:rPr>
                <w:rFonts w:ascii="Aptos" w:eastAsia="Times New Roman" w:hAnsi="Aptos" w:cs="Times New Roman"/>
                <w:color w:val="000000"/>
                <w:kern w:val="0"/>
                <w:sz w:val="20"/>
                <w:szCs w:val="20"/>
                <w:lang w:eastAsia="en-GB"/>
                <w14:ligatures w14:val="none"/>
              </w:rPr>
            </w:pPr>
            <w:r w:rsidRPr="006E4FF5">
              <w:rPr>
                <w:rFonts w:ascii="Aptos" w:eastAsia="Times New Roman" w:hAnsi="Aptos" w:cs="Times New Roman"/>
                <w:color w:val="000000"/>
                <w:kern w:val="0"/>
                <w:sz w:val="20"/>
                <w:szCs w:val="20"/>
                <w:lang w:eastAsia="en-GB"/>
                <w14:ligatures w14:val="none"/>
              </w:rPr>
              <w:t>Ministry of Information and Telecommunication</w:t>
            </w:r>
          </w:p>
        </w:tc>
      </w:tr>
      <w:tr w:rsidR="00DB1F97" w:rsidRPr="00DB1F97" w14:paraId="3D7888D1" w14:textId="77777777" w:rsidTr="00314DB3">
        <w:trPr>
          <w:trHeight w:val="583"/>
        </w:trPr>
        <w:tc>
          <w:tcPr>
            <w:tcW w:w="2122" w:type="dxa"/>
            <w:shd w:val="clear" w:color="auto" w:fill="44546A" w:themeFill="text2"/>
          </w:tcPr>
          <w:p w14:paraId="7C77E2F6" w14:textId="77777777" w:rsidR="00DB1F97" w:rsidRPr="005A696C" w:rsidRDefault="00DB1F97" w:rsidP="00DB1F97">
            <w:pPr>
              <w:spacing w:before="120" w:after="120"/>
              <w:rPr>
                <w:rFonts w:ascii="Aptos" w:eastAsia="Times New Roman" w:hAnsi="Aptos" w:cs="Times New Roman"/>
                <w:color w:val="FFFFFF" w:themeColor="background1"/>
                <w:sz w:val="20"/>
                <w:szCs w:val="20"/>
                <w:lang w:eastAsia="en-GB"/>
              </w:rPr>
            </w:pPr>
            <w:r w:rsidRPr="005A696C">
              <w:rPr>
                <w:rFonts w:ascii="Aptos" w:eastAsia="Times New Roman" w:hAnsi="Aptos" w:cs="Times New Roman"/>
                <w:b/>
                <w:bCs/>
                <w:color w:val="FFFFFF" w:themeColor="background1"/>
                <w:kern w:val="0"/>
                <w:sz w:val="20"/>
                <w:szCs w:val="20"/>
                <w:lang w:eastAsia="en-GB"/>
                <w14:ligatures w14:val="none"/>
              </w:rPr>
              <w:t>Baseline</w:t>
            </w:r>
          </w:p>
        </w:tc>
        <w:tc>
          <w:tcPr>
            <w:tcW w:w="6804" w:type="dxa"/>
          </w:tcPr>
          <w:p w14:paraId="1E4AFA7E" w14:textId="51C7D280" w:rsidR="00DB1F97" w:rsidRPr="00DB1F97" w:rsidRDefault="006E4FF5" w:rsidP="00DB1F97">
            <w:pPr>
              <w:spacing w:before="120" w:after="120"/>
              <w:rPr>
                <w:rFonts w:ascii="Aptos" w:eastAsia="Times New Roman" w:hAnsi="Aptos" w:cs="Times New Roman"/>
                <w:color w:val="000000"/>
                <w:kern w:val="0"/>
                <w:sz w:val="20"/>
                <w:szCs w:val="20"/>
                <w:lang w:eastAsia="en-GB"/>
                <w14:ligatures w14:val="none"/>
              </w:rPr>
            </w:pPr>
            <w:r w:rsidRPr="006E4FF5">
              <w:rPr>
                <w:rFonts w:ascii="Aptos" w:eastAsia="Times New Roman" w:hAnsi="Aptos" w:cs="Times New Roman"/>
                <w:color w:val="000000"/>
                <w:kern w:val="0"/>
                <w:sz w:val="20"/>
                <w:szCs w:val="20"/>
                <w:lang w:eastAsia="en-GB"/>
                <w14:ligatures w14:val="none"/>
              </w:rPr>
              <w:t>The Law on Public Information and Media and the Law on Electronic Media were harmonized and adopted in October 2023 and they will be amended in certain domains with the latest EU framework. The new Law on Public Service Media will be harmonized with new EU media instruments and standards.</w:t>
            </w:r>
          </w:p>
        </w:tc>
      </w:tr>
      <w:tr w:rsidR="00DB1F97" w:rsidRPr="00DB1F97" w14:paraId="797D9AB0" w14:textId="77777777" w:rsidTr="00314DB3">
        <w:trPr>
          <w:trHeight w:val="577"/>
        </w:trPr>
        <w:tc>
          <w:tcPr>
            <w:tcW w:w="2122" w:type="dxa"/>
            <w:shd w:val="clear" w:color="auto" w:fill="44546A" w:themeFill="text2"/>
          </w:tcPr>
          <w:p w14:paraId="542599FC" w14:textId="77777777" w:rsidR="00DB1F97" w:rsidRPr="005A696C" w:rsidRDefault="00DB1F97" w:rsidP="00DB1F97">
            <w:pPr>
              <w:spacing w:before="120" w:after="120"/>
              <w:rPr>
                <w:rFonts w:ascii="Aptos" w:eastAsia="Times New Roman" w:hAnsi="Aptos" w:cs="Times New Roman"/>
                <w:b/>
                <w:bCs/>
                <w:color w:val="FFFFFF" w:themeColor="background1"/>
                <w:kern w:val="0"/>
                <w:sz w:val="20"/>
                <w:szCs w:val="20"/>
                <w:lang w:eastAsia="en-GB"/>
                <w14:ligatures w14:val="none"/>
              </w:rPr>
            </w:pPr>
            <w:r w:rsidRPr="005A696C">
              <w:rPr>
                <w:rFonts w:ascii="Aptos" w:eastAsia="Times New Roman" w:hAnsi="Aptos" w:cs="Times New Roman"/>
                <w:b/>
                <w:bCs/>
                <w:color w:val="FFFFFF" w:themeColor="background1"/>
                <w:kern w:val="0"/>
                <w:sz w:val="20"/>
                <w:szCs w:val="20"/>
                <w:lang w:eastAsia="en-GB"/>
                <w14:ligatures w14:val="none"/>
              </w:rPr>
              <w:t>Sources of verification</w:t>
            </w:r>
          </w:p>
        </w:tc>
        <w:tc>
          <w:tcPr>
            <w:tcW w:w="6804" w:type="dxa"/>
          </w:tcPr>
          <w:p w14:paraId="41912D24" w14:textId="49749A6F" w:rsidR="00DB1F97" w:rsidRPr="00DB1F97" w:rsidRDefault="006E4FF5" w:rsidP="00DB1F97">
            <w:pPr>
              <w:spacing w:before="120" w:after="120"/>
              <w:rPr>
                <w:rFonts w:ascii="Aptos" w:eastAsia="Times New Roman" w:hAnsi="Aptos" w:cs="Times New Roman"/>
                <w:color w:val="000000"/>
                <w:kern w:val="0"/>
                <w:sz w:val="20"/>
                <w:szCs w:val="20"/>
                <w:lang w:eastAsia="en-GB"/>
                <w14:ligatures w14:val="none"/>
              </w:rPr>
            </w:pPr>
            <w:r w:rsidRPr="006E4FF5">
              <w:rPr>
                <w:rFonts w:ascii="Aptos" w:eastAsia="Times New Roman" w:hAnsi="Aptos" w:cs="Times New Roman"/>
                <w:color w:val="000000"/>
                <w:kern w:val="0"/>
                <w:sz w:val="20"/>
                <w:szCs w:val="20"/>
                <w:lang w:eastAsia="en-GB"/>
                <w14:ligatures w14:val="none"/>
              </w:rPr>
              <w:t>Official Gazette of the Republic of Serbia</w:t>
            </w:r>
          </w:p>
        </w:tc>
      </w:tr>
    </w:tbl>
    <w:p w14:paraId="62A43F42" w14:textId="77777777" w:rsidR="00DB1F97" w:rsidRPr="00DB1F97" w:rsidRDefault="00DB1F97" w:rsidP="00DB1F97">
      <w:pPr>
        <w:spacing w:after="0" w:line="240" w:lineRule="auto"/>
        <w:rPr>
          <w:sz w:val="24"/>
          <w:szCs w:val="24"/>
        </w:rPr>
      </w:pPr>
    </w:p>
    <w:p w14:paraId="521BA16A" w14:textId="77777777" w:rsidR="00DB1F97" w:rsidRPr="00DB1F97" w:rsidRDefault="00DB1F97" w:rsidP="00DB1F97">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DB1F97">
        <w:rPr>
          <w:rFonts w:asciiTheme="majorHAnsi" w:eastAsiaTheme="majorEastAsia" w:hAnsiTheme="majorHAnsi" w:cstheme="majorBidi"/>
          <w:color w:val="2F5496" w:themeColor="accent1" w:themeShade="BF"/>
          <w:sz w:val="40"/>
          <w:szCs w:val="40"/>
        </w:rPr>
        <w:t>Analysis</w:t>
      </w:r>
    </w:p>
    <w:p w14:paraId="090C4291" w14:textId="77777777" w:rsidR="00DB1F97" w:rsidRPr="00DB1F97" w:rsidRDefault="00DB1F97" w:rsidP="00DB1F97">
      <w:pPr>
        <w:spacing w:after="0" w:line="240" w:lineRule="auto"/>
        <w:rPr>
          <w:sz w:val="24"/>
          <w:szCs w:val="24"/>
        </w:rPr>
      </w:pPr>
    </w:p>
    <w:tbl>
      <w:tblPr>
        <w:tblStyle w:val="GridTable1Light"/>
        <w:tblW w:w="0" w:type="auto"/>
        <w:tblLook w:val="0480" w:firstRow="0" w:lastRow="0" w:firstColumn="1" w:lastColumn="0" w:noHBand="0" w:noVBand="1"/>
      </w:tblPr>
      <w:tblGrid>
        <w:gridCol w:w="2120"/>
        <w:gridCol w:w="6896"/>
      </w:tblGrid>
      <w:tr w:rsidR="00DB1F97" w:rsidRPr="00DB1F97" w14:paraId="0186B2BB"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36626D19" w14:textId="77777777" w:rsidR="00DB1F97" w:rsidRPr="005A696C" w:rsidRDefault="00DB1F97" w:rsidP="00DB1F97">
            <w:pPr>
              <w:spacing w:before="120" w:after="120"/>
              <w:rPr>
                <w:rFonts w:ascii="Aptos" w:eastAsia="Times New Roman" w:hAnsi="Aptos" w:cs="Times New Roman"/>
                <w:color w:val="FFFFFF" w:themeColor="background1"/>
                <w:kern w:val="0"/>
                <w:sz w:val="20"/>
                <w:szCs w:val="20"/>
                <w:lang w:eastAsia="en-GB"/>
                <w14:ligatures w14:val="none"/>
              </w:rPr>
            </w:pPr>
            <w:r w:rsidRPr="005A696C">
              <w:rPr>
                <w:rFonts w:ascii="Aptos" w:eastAsia="Times New Roman" w:hAnsi="Aptos" w:cs="Times New Roman"/>
                <w:color w:val="FFFFFF" w:themeColor="background1"/>
                <w:kern w:val="0"/>
                <w:sz w:val="20"/>
                <w:szCs w:val="20"/>
                <w:lang w:eastAsia="en-GB"/>
                <w14:ligatures w14:val="none"/>
              </w:rPr>
              <w:t>Define step milestones</w:t>
            </w:r>
          </w:p>
        </w:tc>
        <w:tc>
          <w:tcPr>
            <w:tcW w:w="6753" w:type="dxa"/>
          </w:tcPr>
          <w:p w14:paraId="7900294D" w14:textId="77777777" w:rsidR="00DB1F97" w:rsidRPr="00DB1F97" w:rsidRDefault="00DB1F97" w:rsidP="00DB1F97">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DB1F97">
              <w:rPr>
                <w:i/>
                <w:iCs/>
                <w:sz w:val="20"/>
                <w:szCs w:val="20"/>
              </w:rPr>
              <w:t>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take into account applicable legal requirements (e.g. Law on the Planning System, Government Rules of Procedure, etc.).</w:t>
            </w:r>
          </w:p>
          <w:p w14:paraId="163D6B48" w14:textId="724BE308" w:rsidR="00DB1F97" w:rsidRPr="00DB1F97" w:rsidRDefault="00DB1F97" w:rsidP="00DB1F97">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DB1F97">
              <w:rPr>
                <w:sz w:val="20"/>
                <w:szCs w:val="20"/>
              </w:rPr>
              <w:t xml:space="preserve">Setting up the working group </w:t>
            </w:r>
            <w:r w:rsidR="00B044BC">
              <w:rPr>
                <w:sz w:val="20"/>
                <w:szCs w:val="20"/>
              </w:rPr>
              <w:t xml:space="preserve">(working groups) </w:t>
            </w:r>
            <w:r w:rsidRPr="00DB1F97">
              <w:rPr>
                <w:sz w:val="20"/>
                <w:szCs w:val="20"/>
              </w:rPr>
              <w:t>in an open and transparent process</w:t>
            </w:r>
          </w:p>
          <w:p w14:paraId="4D4969D2" w14:textId="37B8C781" w:rsidR="00DB1F97" w:rsidRPr="00DB1F97" w:rsidRDefault="00DB1F97" w:rsidP="00DB1F97">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DB1F97">
              <w:rPr>
                <w:sz w:val="20"/>
                <w:szCs w:val="20"/>
              </w:rPr>
              <w:t>The working group</w:t>
            </w:r>
            <w:r w:rsidR="00B044BC">
              <w:rPr>
                <w:sz w:val="20"/>
                <w:szCs w:val="20"/>
              </w:rPr>
              <w:t>(s)</w:t>
            </w:r>
            <w:r w:rsidRPr="00DB1F97">
              <w:rPr>
                <w:sz w:val="20"/>
                <w:szCs w:val="20"/>
              </w:rPr>
              <w:t xml:space="preserve"> jointly formulates the proposed amendments through the participation and consensus of all its members</w:t>
            </w:r>
          </w:p>
          <w:p w14:paraId="146D6DC4" w14:textId="706A19E6" w:rsidR="00DB1F97" w:rsidRPr="00DB1F97" w:rsidRDefault="00DB1F97" w:rsidP="00DB1F97">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DB1F97">
              <w:rPr>
                <w:sz w:val="20"/>
                <w:szCs w:val="20"/>
              </w:rPr>
              <w:lastRenderedPageBreak/>
              <w:t>Publication of draft</w:t>
            </w:r>
            <w:r w:rsidR="00B044BC">
              <w:rPr>
                <w:sz w:val="20"/>
                <w:szCs w:val="20"/>
              </w:rPr>
              <w:t>s</w:t>
            </w:r>
            <w:r w:rsidRPr="00DB1F97">
              <w:rPr>
                <w:sz w:val="20"/>
                <w:szCs w:val="20"/>
              </w:rPr>
              <w:t xml:space="preserve"> on eConsultation Portal</w:t>
            </w:r>
          </w:p>
          <w:p w14:paraId="4518AED3" w14:textId="17DB74E8" w:rsidR="00DB1F97" w:rsidRPr="00DB1F97" w:rsidRDefault="00DB1F97" w:rsidP="00DB1F97">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DB1F97">
              <w:rPr>
                <w:sz w:val="20"/>
                <w:szCs w:val="20"/>
              </w:rPr>
              <w:t xml:space="preserve">Public debate conducted </w:t>
            </w:r>
            <w:r w:rsidRPr="00DB1F97">
              <w:rPr>
                <w:color w:val="000000" w:themeColor="text1"/>
                <w:sz w:val="20"/>
                <w:szCs w:val="20"/>
              </w:rPr>
              <w:t>with minimum duration of 20 working days</w:t>
            </w:r>
            <w:r w:rsidR="00B044BC">
              <w:rPr>
                <w:color w:val="000000" w:themeColor="text1"/>
                <w:sz w:val="20"/>
                <w:szCs w:val="20"/>
              </w:rPr>
              <w:t xml:space="preserve"> for all three drafts</w:t>
            </w:r>
          </w:p>
          <w:p w14:paraId="61522DE6" w14:textId="5920A0DA" w:rsidR="00DB1F97" w:rsidRPr="00DB1F97" w:rsidRDefault="00DB1F97" w:rsidP="00DB1F97">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DB1F97">
              <w:rPr>
                <w:sz w:val="20"/>
                <w:szCs w:val="20"/>
              </w:rPr>
              <w:t>Bill</w:t>
            </w:r>
            <w:r w:rsidR="00B044BC">
              <w:rPr>
                <w:sz w:val="20"/>
                <w:szCs w:val="20"/>
              </w:rPr>
              <w:t>s</w:t>
            </w:r>
            <w:r w:rsidRPr="00DB1F97">
              <w:rPr>
                <w:sz w:val="20"/>
                <w:szCs w:val="20"/>
              </w:rPr>
              <w:t xml:space="preserve"> adopted at the Government session and submitted to Parliament</w:t>
            </w:r>
          </w:p>
          <w:p w14:paraId="28B7AE84" w14:textId="2DF4653F" w:rsidR="00DB1F97" w:rsidRPr="00DB1F97" w:rsidRDefault="00DB1F97" w:rsidP="00DB1F97">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DB1F97">
              <w:rPr>
                <w:sz w:val="20"/>
                <w:szCs w:val="20"/>
              </w:rPr>
              <w:t>Parliamentary debate</w:t>
            </w:r>
            <w:r w:rsidR="00B044BC">
              <w:rPr>
                <w:sz w:val="20"/>
                <w:szCs w:val="20"/>
              </w:rPr>
              <w:t>(s)</w:t>
            </w:r>
            <w:r w:rsidRPr="00DB1F97">
              <w:rPr>
                <w:sz w:val="20"/>
                <w:szCs w:val="20"/>
              </w:rPr>
              <w:t xml:space="preserve"> (in relevant committees and plenum)</w:t>
            </w:r>
          </w:p>
          <w:p w14:paraId="29AECF41" w14:textId="77777777" w:rsidR="00DB1F97" w:rsidRPr="00DB1F97" w:rsidRDefault="00DB1F97" w:rsidP="00DB1F97">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DB1F97">
              <w:rPr>
                <w:sz w:val="20"/>
                <w:szCs w:val="20"/>
              </w:rPr>
              <w:t>Adoption in the Parliament</w:t>
            </w:r>
          </w:p>
          <w:p w14:paraId="3251A72A" w14:textId="77777777" w:rsidR="00DB1F97" w:rsidRPr="00DB1F97" w:rsidRDefault="00DB1F97" w:rsidP="00DB1F97">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DB1F97">
              <w:rPr>
                <w:sz w:val="20"/>
                <w:szCs w:val="20"/>
              </w:rPr>
              <w:t>Publication in the Official Gazette</w:t>
            </w:r>
          </w:p>
        </w:tc>
      </w:tr>
      <w:tr w:rsidR="00DB1F97" w:rsidRPr="00DB1F97" w14:paraId="3004B7EA"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27835374" w14:textId="77777777" w:rsidR="00DB1F97" w:rsidRPr="005A696C" w:rsidRDefault="00DB1F97" w:rsidP="00DB1F97">
            <w:pPr>
              <w:spacing w:before="120" w:after="120"/>
              <w:rPr>
                <w:rFonts w:ascii="Aptos" w:eastAsia="Times New Roman" w:hAnsi="Aptos" w:cs="Times New Roman"/>
                <w:color w:val="FFFFFF" w:themeColor="background1"/>
                <w:kern w:val="0"/>
                <w:sz w:val="20"/>
                <w:szCs w:val="20"/>
                <w:lang w:eastAsia="en-GB"/>
                <w14:ligatures w14:val="none"/>
              </w:rPr>
            </w:pPr>
            <w:proofErr w:type="spellStart"/>
            <w:r w:rsidRPr="005A696C">
              <w:rPr>
                <w:rFonts w:ascii="Aptos" w:eastAsia="Times New Roman" w:hAnsi="Aptos" w:cs="Times New Roman"/>
                <w:color w:val="FFFFFF" w:themeColor="background1"/>
                <w:kern w:val="0"/>
                <w:sz w:val="20"/>
                <w:szCs w:val="20"/>
                <w:lang w:eastAsia="en-GB"/>
                <w14:ligatures w14:val="none"/>
              </w:rPr>
              <w:lastRenderedPageBreak/>
              <w:t>Analyse</w:t>
            </w:r>
            <w:proofErr w:type="spellEnd"/>
            <w:r w:rsidRPr="005A696C">
              <w:rPr>
                <w:rFonts w:ascii="Aptos" w:eastAsia="Times New Roman" w:hAnsi="Aptos" w:cs="Times New Roman"/>
                <w:color w:val="FFFFFF" w:themeColor="background1"/>
                <w:kern w:val="0"/>
                <w:sz w:val="20"/>
                <w:szCs w:val="20"/>
                <w:lang w:eastAsia="en-GB"/>
                <w14:ligatures w14:val="none"/>
              </w:rPr>
              <w:t xml:space="preserve"> achievement of each milestone</w:t>
            </w:r>
          </w:p>
        </w:tc>
        <w:tc>
          <w:tcPr>
            <w:tcW w:w="6753" w:type="dxa"/>
          </w:tcPr>
          <w:p w14:paraId="7425405C" w14:textId="77777777" w:rsidR="00DB1F97" w:rsidRPr="00DB1F97" w:rsidRDefault="00DB1F97" w:rsidP="00DB1F97">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DB1F97">
              <w:rPr>
                <w:i/>
                <w:iCs/>
                <w:sz w:val="20"/>
                <w:szCs w:val="20"/>
              </w:rPr>
              <w:t>For each identified milestone, provide a succinct analysis of its implementation process. Use numbered points corresponding to the defined milestones above. Please provide references wherever possible.</w:t>
            </w:r>
          </w:p>
          <w:p w14:paraId="74DC34A5" w14:textId="0A6766E1" w:rsidR="00B044BC" w:rsidRDefault="00323F46" w:rsidP="009B11E9">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lang w:val="en-GB"/>
              </w:rPr>
              <w:t xml:space="preserve">Working group for the Law on Public Media Services </w:t>
            </w:r>
            <w:hyperlink r:id="rId7" w:history="1">
              <w:r w:rsidRPr="00323F46">
                <w:rPr>
                  <w:rStyle w:val="Hyperlink"/>
                  <w:sz w:val="20"/>
                  <w:szCs w:val="20"/>
                  <w:lang w:val="en-GB"/>
                </w:rPr>
                <w:t>started</w:t>
              </w:r>
            </w:hyperlink>
            <w:r>
              <w:rPr>
                <w:sz w:val="20"/>
                <w:szCs w:val="20"/>
                <w:lang w:val="en-GB"/>
              </w:rPr>
              <w:t xml:space="preserve"> on September 18</w:t>
            </w:r>
            <w:r w:rsidRPr="00323F46">
              <w:rPr>
                <w:sz w:val="20"/>
                <w:szCs w:val="20"/>
                <w:vertAlign w:val="superscript"/>
                <w:lang w:val="en-GB"/>
              </w:rPr>
              <w:t>th</w:t>
            </w:r>
            <w:r>
              <w:rPr>
                <w:sz w:val="20"/>
                <w:szCs w:val="20"/>
                <w:lang w:val="en-GB"/>
              </w:rPr>
              <w:t xml:space="preserve"> 2024. </w:t>
            </w:r>
            <w:r w:rsidR="009B11E9" w:rsidRPr="009B11E9">
              <w:rPr>
                <w:sz w:val="20"/>
                <w:szCs w:val="20"/>
                <w:lang w:val="en-GB"/>
              </w:rPr>
              <w:t xml:space="preserve">Working groups </w:t>
            </w:r>
            <w:r>
              <w:rPr>
                <w:sz w:val="20"/>
                <w:szCs w:val="20"/>
                <w:lang w:val="en-GB"/>
              </w:rPr>
              <w:t xml:space="preserve">for amending LPIM and LEM </w:t>
            </w:r>
            <w:r w:rsidR="009B11E9" w:rsidRPr="009B11E9">
              <w:rPr>
                <w:sz w:val="20"/>
                <w:szCs w:val="20"/>
                <w:lang w:val="en-GB"/>
              </w:rPr>
              <w:t xml:space="preserve">were formed in </w:t>
            </w:r>
            <w:r>
              <w:rPr>
                <w:sz w:val="20"/>
                <w:szCs w:val="20"/>
              </w:rPr>
              <w:t xml:space="preserve">late </w:t>
            </w:r>
            <w:r w:rsidR="009B11E9" w:rsidRPr="009B11E9">
              <w:rPr>
                <w:sz w:val="20"/>
                <w:szCs w:val="20"/>
                <w:lang w:val="en-GB"/>
              </w:rPr>
              <w:t>2024</w:t>
            </w:r>
            <w:r>
              <w:rPr>
                <w:sz w:val="20"/>
                <w:szCs w:val="20"/>
                <w:lang w:val="en-GB"/>
              </w:rPr>
              <w:t xml:space="preserve">, and their first </w:t>
            </w:r>
            <w:hyperlink r:id="rId8" w:history="1">
              <w:r w:rsidRPr="00323F46">
                <w:rPr>
                  <w:rStyle w:val="Hyperlink"/>
                  <w:sz w:val="20"/>
                  <w:szCs w:val="20"/>
                  <w:lang w:val="en-GB"/>
                </w:rPr>
                <w:t>meeting</w:t>
              </w:r>
            </w:hyperlink>
            <w:r>
              <w:rPr>
                <w:sz w:val="20"/>
                <w:szCs w:val="20"/>
                <w:lang w:val="en-GB"/>
              </w:rPr>
              <w:t xml:space="preserve"> was organised on December 5</w:t>
            </w:r>
            <w:r w:rsidRPr="00323F46">
              <w:rPr>
                <w:sz w:val="20"/>
                <w:szCs w:val="20"/>
                <w:vertAlign w:val="superscript"/>
                <w:lang w:val="en-GB"/>
              </w:rPr>
              <w:t>th</w:t>
            </w:r>
            <w:r>
              <w:rPr>
                <w:sz w:val="20"/>
                <w:szCs w:val="20"/>
                <w:lang w:val="en-GB"/>
              </w:rPr>
              <w:t xml:space="preserve"> 2024</w:t>
            </w:r>
            <w:r w:rsidR="009B11E9" w:rsidRPr="009B11E9">
              <w:rPr>
                <w:sz w:val="20"/>
                <w:szCs w:val="20"/>
                <w:lang w:val="en-GB"/>
              </w:rPr>
              <w:t>.</w:t>
            </w:r>
          </w:p>
          <w:p w14:paraId="19C050D2" w14:textId="5206C6D3" w:rsidR="009B11E9" w:rsidRPr="009B11E9" w:rsidRDefault="009B11E9" w:rsidP="00323F46">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9B11E9">
              <w:rPr>
                <w:sz w:val="20"/>
                <w:szCs w:val="20"/>
                <w:lang w:val="en-GB"/>
              </w:rPr>
              <w:t>There was no consensus within the working groups regarding the content of the draft laws.</w:t>
            </w:r>
            <w:r w:rsidR="00323F46">
              <w:rPr>
                <w:sz w:val="20"/>
                <w:szCs w:val="20"/>
                <w:lang w:val="en-GB"/>
              </w:rPr>
              <w:t xml:space="preserve"> </w:t>
            </w:r>
            <w:r w:rsidR="00323F46" w:rsidRPr="00323F46">
              <w:rPr>
                <w:sz w:val="20"/>
                <w:szCs w:val="20"/>
                <w:lang w:val="en-GB"/>
              </w:rPr>
              <w:t>The positions of various members of the working groups were not addressed in the explanatory notes of the draft laws.</w:t>
            </w:r>
          </w:p>
          <w:p w14:paraId="5E68CBBB" w14:textId="77777777" w:rsidR="00323F46" w:rsidRPr="00323F46" w:rsidRDefault="008F259F" w:rsidP="00323F46">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bookmarkStart w:id="0" w:name="_Hlk226534521"/>
            <w:r w:rsidRPr="008F259F">
              <w:rPr>
                <w:sz w:val="20"/>
                <w:szCs w:val="20"/>
                <w:lang w:val="en-GB"/>
              </w:rPr>
              <w:t>The public consultation for one of the three laws lasted 20 days, but fewer than 20 working days.</w:t>
            </w:r>
            <w:r>
              <w:rPr>
                <w:sz w:val="20"/>
                <w:szCs w:val="20"/>
                <w:lang w:val="en-GB"/>
              </w:rPr>
              <w:t xml:space="preserve"> </w:t>
            </w:r>
            <w:r w:rsidRPr="008F259F">
              <w:rPr>
                <w:sz w:val="20"/>
                <w:szCs w:val="20"/>
                <w:lang w:val="en-GB"/>
              </w:rPr>
              <w:t>This was particularly problematic, as the period of public consultation included not only weekends, but also the New Year and Orthodox Christmas holidays.</w:t>
            </w:r>
            <w:r w:rsidR="00323F46">
              <w:rPr>
                <w:sz w:val="20"/>
                <w:szCs w:val="20"/>
                <w:lang w:val="en-GB"/>
              </w:rPr>
              <w:t xml:space="preserve"> </w:t>
            </w:r>
            <w:r w:rsidR="00323F46" w:rsidRPr="008F259F">
              <w:rPr>
                <w:sz w:val="20"/>
                <w:szCs w:val="20"/>
                <w:lang w:val="en-GB"/>
              </w:rPr>
              <w:t>The Report from the public consultation includes an overview of comments and proposals, together with an explanation of the reasons for their rejection (where applicable), as well as minutes from several in-person discussions held in various cities across Serbia.</w:t>
            </w:r>
            <w:r w:rsidR="00323F46">
              <w:rPr>
                <w:sz w:val="20"/>
                <w:szCs w:val="20"/>
                <w:lang w:val="en-GB"/>
              </w:rPr>
              <w:t xml:space="preserve"> </w:t>
            </w:r>
            <w:r w:rsidR="00323F46" w:rsidRPr="00B044BC">
              <w:rPr>
                <w:sz w:val="20"/>
                <w:szCs w:val="20"/>
                <w:lang w:val="en-GB"/>
              </w:rPr>
              <w:t>On the other hand, no public consultation was organised regarding the amendments to the Law on Electronic Media and the Law on Public Information and Media.</w:t>
            </w:r>
          </w:p>
          <w:p w14:paraId="5A83AD51" w14:textId="38C4511E" w:rsidR="008F259F" w:rsidRPr="00323F46" w:rsidRDefault="008F259F" w:rsidP="00323F46">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323F46">
              <w:rPr>
                <w:sz w:val="20"/>
                <w:szCs w:val="20"/>
              </w:rPr>
              <w:t xml:space="preserve">On 19 May 2025, the Ministry of Information </w:t>
            </w:r>
            <w:hyperlink r:id="rId9" w:anchor=":~:text=javnom%20informisanju%20i%20medijima%2C%20Zakona%20o%20elektronskim%20medijima%20i&amp;text=Predstavljene%20su%20i%20sve%20izmene%20i%20dopune%20druga%20dva%20medijska%20zakona" w:history="1">
              <w:r w:rsidRPr="00323F46">
                <w:rPr>
                  <w:rStyle w:val="Hyperlink"/>
                  <w:sz w:val="20"/>
                  <w:szCs w:val="20"/>
                </w:rPr>
                <w:t>presented</w:t>
              </w:r>
            </w:hyperlink>
            <w:r w:rsidRPr="00323F46">
              <w:rPr>
                <w:sz w:val="20"/>
                <w:szCs w:val="20"/>
              </w:rPr>
              <w:t xml:space="preserve"> the Draft Laws on Amendments to the Law on Public Information and Media and the Law on Electronic Media. Journalists’ associations </w:t>
            </w:r>
            <w:hyperlink r:id="rId10" w:history="1">
              <w:r w:rsidRPr="00323F46">
                <w:rPr>
                  <w:rStyle w:val="Hyperlink"/>
                  <w:sz w:val="20"/>
                  <w:szCs w:val="20"/>
                </w:rPr>
                <w:t>emphasized</w:t>
              </w:r>
            </w:hyperlink>
            <w:r w:rsidRPr="00323F46">
              <w:rPr>
                <w:sz w:val="20"/>
                <w:szCs w:val="20"/>
              </w:rPr>
              <w:t xml:space="preserve"> that this meeting could not replace the legally mandated public consultation process, underlining the need for formal, transparent opportunities for all stakeholders to provide input.</w:t>
            </w:r>
          </w:p>
          <w:bookmarkEnd w:id="0"/>
          <w:p w14:paraId="74CBACE1" w14:textId="0BA107F3" w:rsidR="00A012B5" w:rsidRPr="00A012B5" w:rsidRDefault="00A012B5" w:rsidP="00A012B5">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A012B5">
              <w:rPr>
                <w:sz w:val="20"/>
                <w:szCs w:val="20"/>
              </w:rPr>
              <w:t xml:space="preserve">The Government of Serbia </w:t>
            </w:r>
            <w:hyperlink r:id="rId11" w:history="1">
              <w:r w:rsidRPr="00A012B5">
                <w:rPr>
                  <w:rStyle w:val="Hyperlink"/>
                  <w:sz w:val="20"/>
                  <w:szCs w:val="20"/>
                </w:rPr>
                <w:t>adopted</w:t>
              </w:r>
            </w:hyperlink>
            <w:r w:rsidRPr="00A012B5">
              <w:rPr>
                <w:sz w:val="20"/>
                <w:szCs w:val="20"/>
              </w:rPr>
              <w:t xml:space="preserve"> a set of media law amendments on 5 June 2025</w:t>
            </w:r>
            <w:r w:rsidR="00BF31B9">
              <w:rPr>
                <w:sz w:val="20"/>
                <w:szCs w:val="20"/>
              </w:rPr>
              <w:t>.</w:t>
            </w:r>
          </w:p>
          <w:p w14:paraId="2A0A189F" w14:textId="3474A2BB" w:rsidR="00A012B5" w:rsidRPr="00A012B5" w:rsidRDefault="00A012B5" w:rsidP="00A012B5">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A012B5">
              <w:rPr>
                <w:sz w:val="20"/>
                <w:szCs w:val="20"/>
              </w:rPr>
              <w:t xml:space="preserve">The parliamentary </w:t>
            </w:r>
            <w:hyperlink r:id="rId12" w:history="1">
              <w:r w:rsidRPr="00A012B5">
                <w:rPr>
                  <w:rStyle w:val="Hyperlink"/>
                  <w:sz w:val="20"/>
                  <w:szCs w:val="20"/>
                </w:rPr>
                <w:t>debate</w:t>
              </w:r>
            </w:hyperlink>
            <w:r w:rsidRPr="00A012B5">
              <w:rPr>
                <w:sz w:val="20"/>
                <w:szCs w:val="20"/>
              </w:rPr>
              <w:t xml:space="preserve"> on the proposed media law amendments was marked by significant political contention and procedural scrutiny. While the governing majority argued that the amendments were necessary to strengthen the regulatory framework and align national legislation with European standards, opposition members raised concerns about the transparency of the drafting process and the pace at which the changes were advanced. Debate focused heavily on provisions relating to the independence and appointment procedures of regulatory bodies, particularly the Regulatory Authority for Electronic Media (REM), with opposition MPs questioning whether the reforms adequately safeguarded pluralism and media freedom. Some parliamentarians also called for broader public consultation and greater involvement of civil society in shaping the final text. </w:t>
            </w:r>
          </w:p>
          <w:p w14:paraId="682FBD53" w14:textId="3F34F555" w:rsidR="00A012B5" w:rsidRPr="00A012B5" w:rsidRDefault="00A012B5" w:rsidP="00BF31B9">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A012B5">
              <w:rPr>
                <w:sz w:val="20"/>
                <w:szCs w:val="20"/>
              </w:rPr>
              <w:t xml:space="preserve">Assembly </w:t>
            </w:r>
            <w:hyperlink r:id="rId13" w:history="1">
              <w:r w:rsidRPr="00BF31B9">
                <w:rPr>
                  <w:rStyle w:val="Hyperlink"/>
                  <w:sz w:val="20"/>
                  <w:szCs w:val="20"/>
                </w:rPr>
                <w:t>adopted</w:t>
              </w:r>
            </w:hyperlink>
            <w:r w:rsidRPr="00A012B5">
              <w:rPr>
                <w:sz w:val="20"/>
                <w:szCs w:val="20"/>
              </w:rPr>
              <w:t xml:space="preserve"> the amendments on 16 June 2025.</w:t>
            </w:r>
          </w:p>
          <w:p w14:paraId="27713713" w14:textId="77777777" w:rsidR="00BF31B9" w:rsidRPr="00BF31B9" w:rsidRDefault="00BF31B9" w:rsidP="00BF31B9">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BF31B9">
              <w:rPr>
                <w:sz w:val="20"/>
                <w:szCs w:val="20"/>
              </w:rPr>
              <w:t>Law on Electronic Media</w:t>
            </w:r>
          </w:p>
          <w:p w14:paraId="3D5AAE1E" w14:textId="77777777" w:rsidR="00BF31B9" w:rsidRPr="00BF31B9" w:rsidRDefault="00BF31B9" w:rsidP="00BF31B9">
            <w:pPr>
              <w:spacing w:before="120" w:after="120"/>
              <w:ind w:left="720"/>
              <w:contextualSpacing/>
              <w:cnfStyle w:val="000000000000" w:firstRow="0" w:lastRow="0" w:firstColumn="0" w:lastColumn="0" w:oddVBand="0" w:evenVBand="0" w:oddHBand="0" w:evenHBand="0" w:firstRowFirstColumn="0" w:firstRowLastColumn="0" w:lastRowFirstColumn="0" w:lastRowLastColumn="0"/>
              <w:rPr>
                <w:sz w:val="20"/>
                <w:szCs w:val="20"/>
              </w:rPr>
            </w:pPr>
            <w:r w:rsidRPr="00BF31B9">
              <w:rPr>
                <w:sz w:val="20"/>
                <w:szCs w:val="20"/>
              </w:rPr>
              <w:t>(Official Gazette of the Republic of Serbia, No. 92/2023 and 51/2025)</w:t>
            </w:r>
          </w:p>
          <w:p w14:paraId="5AD6830C" w14:textId="77777777" w:rsidR="00BF31B9" w:rsidRPr="00BF31B9" w:rsidRDefault="00BF31B9" w:rsidP="00BF31B9">
            <w:pPr>
              <w:spacing w:before="120" w:after="120"/>
              <w:ind w:left="720"/>
              <w:contextualSpacing/>
              <w:cnfStyle w:val="000000000000" w:firstRow="0" w:lastRow="0" w:firstColumn="0" w:lastColumn="0" w:oddVBand="0" w:evenVBand="0" w:oddHBand="0" w:evenHBand="0" w:firstRowFirstColumn="0" w:firstRowLastColumn="0" w:lastRowFirstColumn="0" w:lastRowLastColumn="0"/>
              <w:rPr>
                <w:sz w:val="20"/>
                <w:szCs w:val="20"/>
              </w:rPr>
            </w:pPr>
            <w:r w:rsidRPr="00BF31B9">
              <w:rPr>
                <w:sz w:val="20"/>
                <w:szCs w:val="20"/>
              </w:rPr>
              <w:t>Law on Public Information and Media</w:t>
            </w:r>
          </w:p>
          <w:p w14:paraId="726E4E81" w14:textId="77777777" w:rsidR="00BF31B9" w:rsidRPr="00BF31B9" w:rsidRDefault="00BF31B9" w:rsidP="00BF31B9">
            <w:pPr>
              <w:spacing w:before="120" w:after="120"/>
              <w:ind w:left="720"/>
              <w:contextualSpacing/>
              <w:cnfStyle w:val="000000000000" w:firstRow="0" w:lastRow="0" w:firstColumn="0" w:lastColumn="0" w:oddVBand="0" w:evenVBand="0" w:oddHBand="0" w:evenHBand="0" w:firstRowFirstColumn="0" w:firstRowLastColumn="0" w:lastRowFirstColumn="0" w:lastRowLastColumn="0"/>
              <w:rPr>
                <w:sz w:val="20"/>
                <w:szCs w:val="20"/>
              </w:rPr>
            </w:pPr>
            <w:r w:rsidRPr="00BF31B9">
              <w:rPr>
                <w:sz w:val="20"/>
                <w:szCs w:val="20"/>
              </w:rPr>
              <w:t>(Official Gazette of the Republic of Serbia, No. 92/2023 and 51/2025)</w:t>
            </w:r>
          </w:p>
          <w:p w14:paraId="0CC6A154" w14:textId="77777777" w:rsidR="00BF31B9" w:rsidRPr="00BF31B9" w:rsidRDefault="00BF31B9" w:rsidP="00BF31B9">
            <w:pPr>
              <w:spacing w:before="120" w:after="120"/>
              <w:ind w:left="720"/>
              <w:contextualSpacing/>
              <w:cnfStyle w:val="000000000000" w:firstRow="0" w:lastRow="0" w:firstColumn="0" w:lastColumn="0" w:oddVBand="0" w:evenVBand="0" w:oddHBand="0" w:evenHBand="0" w:firstRowFirstColumn="0" w:firstRowLastColumn="0" w:lastRowFirstColumn="0" w:lastRowLastColumn="0"/>
              <w:rPr>
                <w:sz w:val="20"/>
                <w:szCs w:val="20"/>
              </w:rPr>
            </w:pPr>
            <w:r w:rsidRPr="00BF31B9">
              <w:rPr>
                <w:sz w:val="20"/>
                <w:szCs w:val="20"/>
              </w:rPr>
              <w:t>Law on Public Media Services</w:t>
            </w:r>
          </w:p>
          <w:p w14:paraId="5B218553" w14:textId="7029B8BC" w:rsidR="00DB1F97" w:rsidRPr="00DB1F97" w:rsidRDefault="00BF31B9" w:rsidP="00BF31B9">
            <w:pPr>
              <w:spacing w:before="120" w:after="120"/>
              <w:ind w:left="720"/>
              <w:contextualSpacing/>
              <w:cnfStyle w:val="000000000000" w:firstRow="0" w:lastRow="0" w:firstColumn="0" w:lastColumn="0" w:oddVBand="0" w:evenVBand="0" w:oddHBand="0" w:evenHBand="0" w:firstRowFirstColumn="0" w:firstRowLastColumn="0" w:lastRowFirstColumn="0" w:lastRowLastColumn="0"/>
              <w:rPr>
                <w:sz w:val="20"/>
                <w:szCs w:val="20"/>
              </w:rPr>
            </w:pPr>
            <w:r w:rsidRPr="00BF31B9">
              <w:rPr>
                <w:sz w:val="20"/>
                <w:szCs w:val="20"/>
              </w:rPr>
              <w:lastRenderedPageBreak/>
              <w:t>(Official Gazette of the Republic of Serbia, Nos. 83/2014, 103/2015, 108/2016, 161/2020, 129/2021, 142/2022, 92/2023, 51/2025, and 109/2025)</w:t>
            </w:r>
          </w:p>
        </w:tc>
      </w:tr>
      <w:tr w:rsidR="00DB1F97" w:rsidRPr="00DB1F97" w14:paraId="5BB7C67F"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40106207" w14:textId="77777777" w:rsidR="00DB1F97" w:rsidRPr="005A696C" w:rsidRDefault="00DB1F97" w:rsidP="00DB1F97">
            <w:pPr>
              <w:spacing w:before="120" w:after="120"/>
              <w:rPr>
                <w:rFonts w:ascii="Aptos" w:eastAsia="Times New Roman" w:hAnsi="Aptos" w:cs="Times New Roman"/>
                <w:color w:val="FFFFFF" w:themeColor="background1"/>
                <w:kern w:val="0"/>
                <w:sz w:val="20"/>
                <w:szCs w:val="20"/>
                <w:lang w:eastAsia="en-GB"/>
                <w14:ligatures w14:val="none"/>
              </w:rPr>
            </w:pPr>
            <w:r w:rsidRPr="005A696C">
              <w:rPr>
                <w:rFonts w:ascii="Aptos" w:eastAsia="Times New Roman" w:hAnsi="Aptos" w:cs="Times New Roman"/>
                <w:color w:val="FFFFFF" w:themeColor="background1"/>
                <w:kern w:val="0"/>
                <w:sz w:val="20"/>
                <w:szCs w:val="20"/>
                <w:lang w:eastAsia="en-GB"/>
                <w14:ligatures w14:val="none"/>
              </w:rPr>
              <w:lastRenderedPageBreak/>
              <w:t>Key issues in implementation</w:t>
            </w:r>
          </w:p>
        </w:tc>
        <w:tc>
          <w:tcPr>
            <w:tcW w:w="6753" w:type="dxa"/>
          </w:tcPr>
          <w:p w14:paraId="4F8D6E19" w14:textId="77777777" w:rsidR="00DB1F97" w:rsidRDefault="00DB1F97" w:rsidP="00DB1F97">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DB1F97">
              <w:rPr>
                <w:i/>
                <w:iCs/>
                <w:sz w:val="20"/>
                <w:szCs w:val="20"/>
              </w:rPr>
              <w:t>List and briefly explain key problems/issues arising in the reform step implementation. This can follow the milestone structure, but depending on the reform step, it can also be an analysis for the whole step. Please provide references wherever possible.</w:t>
            </w:r>
          </w:p>
          <w:p w14:paraId="529C165A" w14:textId="77777777" w:rsidR="00681563" w:rsidRDefault="00681563" w:rsidP="0068156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According to the European Commission, t</w:t>
            </w:r>
            <w:r w:rsidR="00B04A36" w:rsidRPr="00B04A36">
              <w:rPr>
                <w:sz w:val="20"/>
                <w:szCs w:val="20"/>
              </w:rPr>
              <w:t>he adoption of the media laws in October 2023</w:t>
            </w:r>
            <w:r w:rsidR="0097774B">
              <w:rPr>
                <w:sz w:val="20"/>
                <w:szCs w:val="20"/>
              </w:rPr>
              <w:t xml:space="preserve"> </w:t>
            </w:r>
            <w:r w:rsidR="00B04A36" w:rsidRPr="00B04A36">
              <w:rPr>
                <w:sz w:val="20"/>
                <w:szCs w:val="20"/>
              </w:rPr>
              <w:t>highlight</w:t>
            </w:r>
            <w:r>
              <w:rPr>
                <w:sz w:val="20"/>
                <w:szCs w:val="20"/>
              </w:rPr>
              <w:t>ed</w:t>
            </w:r>
            <w:r w:rsidR="00B04A36" w:rsidRPr="00B04A36">
              <w:rPr>
                <w:sz w:val="20"/>
                <w:szCs w:val="20"/>
              </w:rPr>
              <w:t xml:space="preserve"> ongoing </w:t>
            </w:r>
            <w:hyperlink r:id="rId14" w:history="1">
              <w:r w:rsidR="00B04A36" w:rsidRPr="00B04A36">
                <w:rPr>
                  <w:rStyle w:val="Hyperlink"/>
                  <w:sz w:val="20"/>
                  <w:szCs w:val="20"/>
                </w:rPr>
                <w:t>challenges</w:t>
              </w:r>
            </w:hyperlink>
            <w:r w:rsidR="00B04A36" w:rsidRPr="00B04A36">
              <w:rPr>
                <w:sz w:val="20"/>
                <w:szCs w:val="20"/>
              </w:rPr>
              <w:t xml:space="preserve"> in implementation. Key issues </w:t>
            </w:r>
            <w:r w:rsidR="00B04A36" w:rsidRPr="0097774B">
              <w:rPr>
                <w:sz w:val="20"/>
                <w:szCs w:val="20"/>
              </w:rPr>
              <w:t>includ</w:t>
            </w:r>
            <w:r w:rsidR="00B04A36" w:rsidRPr="00B04A36">
              <w:rPr>
                <w:sz w:val="20"/>
                <w:szCs w:val="20"/>
              </w:rPr>
              <w:t>e ensuring the transparent and independent selection of Regulatory Authority members, clarifying procedural rules and eligibility criteria, and maintaining consistent application of provisions on media pluralism and public service responsibilities. Institutional capacity remains a concern, as effective enforcement relies on both the REM and public media services having sufficient resources. Additionally, aligning practice with European standards continues to be a critical requirement, not just a formal obligation in the legislation</w:t>
            </w:r>
            <w:r w:rsidR="0097774B">
              <w:rPr>
                <w:sz w:val="20"/>
                <w:szCs w:val="20"/>
              </w:rPr>
              <w:t xml:space="preserve">. </w:t>
            </w:r>
          </w:p>
          <w:p w14:paraId="7C056AF5" w14:textId="57B77CB6" w:rsidR="0097774B" w:rsidRDefault="00681563" w:rsidP="0068156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681563">
              <w:rPr>
                <w:sz w:val="20"/>
                <w:szCs w:val="20"/>
                <w:lang w:val="en-GB"/>
              </w:rPr>
              <w:t xml:space="preserve">The procedure for the preparation and adoption of </w:t>
            </w:r>
            <w:hyperlink r:id="rId15" w:history="1">
              <w:r w:rsidRPr="0097774B">
                <w:rPr>
                  <w:rStyle w:val="Hyperlink"/>
                  <w:sz w:val="20"/>
                  <w:szCs w:val="20"/>
                </w:rPr>
                <w:t>amendments</w:t>
              </w:r>
            </w:hyperlink>
            <w:r w:rsidRPr="00B04A36">
              <w:rPr>
                <w:sz w:val="20"/>
                <w:szCs w:val="20"/>
              </w:rPr>
              <w:t xml:space="preserve"> in mid-2025,</w:t>
            </w:r>
            <w:r w:rsidRPr="00681563">
              <w:rPr>
                <w:sz w:val="20"/>
                <w:szCs w:val="20"/>
                <w:lang w:val="en-GB"/>
              </w:rPr>
              <w:t xml:space="preserve">conducted under the pretext of alignment with EU standards, was marked by a lack of transparency and inclusiveness, as well as a failure to adequately address certain systemic issues, including the </w:t>
            </w:r>
            <w:hyperlink r:id="rId16" w:history="1">
              <w:r w:rsidRPr="009420AD">
                <w:rPr>
                  <w:rStyle w:val="Hyperlink"/>
                  <w:sz w:val="20"/>
                  <w:szCs w:val="20"/>
                  <w:lang w:val="en-GB"/>
                </w:rPr>
                <w:t>procurement</w:t>
              </w:r>
            </w:hyperlink>
            <w:r w:rsidRPr="00681563">
              <w:rPr>
                <w:sz w:val="20"/>
                <w:szCs w:val="20"/>
                <w:lang w:val="en-GB"/>
              </w:rPr>
              <w:t xml:space="preserve"> of media services and covert political advertising.</w:t>
            </w:r>
            <w:r w:rsidR="0097774B" w:rsidRPr="00B04A36">
              <w:rPr>
                <w:sz w:val="20"/>
                <w:szCs w:val="20"/>
              </w:rPr>
              <w:t xml:space="preserve"> </w:t>
            </w:r>
          </w:p>
          <w:p w14:paraId="321F9A95" w14:textId="2AA94D04" w:rsidR="00B04A36" w:rsidRDefault="0097774B" w:rsidP="00DB1F97">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Also, </w:t>
            </w:r>
            <w:r w:rsidR="00681563">
              <w:rPr>
                <w:sz w:val="20"/>
                <w:szCs w:val="20"/>
              </w:rPr>
              <w:t xml:space="preserve">as some of </w:t>
            </w:r>
            <w:r>
              <w:rPr>
                <w:sz w:val="20"/>
                <w:szCs w:val="20"/>
              </w:rPr>
              <w:t>t</w:t>
            </w:r>
            <w:r w:rsidR="00B90156" w:rsidRPr="00B90156">
              <w:rPr>
                <w:sz w:val="20"/>
                <w:szCs w:val="20"/>
              </w:rPr>
              <w:t xml:space="preserve">he </w:t>
            </w:r>
            <w:hyperlink r:id="rId17" w:history="1">
              <w:r w:rsidR="00B90156" w:rsidRPr="00B90156">
                <w:rPr>
                  <w:rStyle w:val="Hyperlink"/>
                  <w:sz w:val="20"/>
                  <w:szCs w:val="20"/>
                </w:rPr>
                <w:t>key problems</w:t>
              </w:r>
            </w:hyperlink>
            <w:r w:rsidR="00B90156" w:rsidRPr="00B90156">
              <w:rPr>
                <w:sz w:val="20"/>
                <w:szCs w:val="20"/>
              </w:rPr>
              <w:t xml:space="preserve"> of the media law amendments </w:t>
            </w:r>
            <w:r w:rsidR="00681563">
              <w:rPr>
                <w:sz w:val="20"/>
                <w:szCs w:val="20"/>
              </w:rPr>
              <w:t xml:space="preserve">media associations identified </w:t>
            </w:r>
            <w:r w:rsidR="00B90156" w:rsidRPr="00B90156">
              <w:rPr>
                <w:sz w:val="20"/>
                <w:szCs w:val="20"/>
              </w:rPr>
              <w:t>the restriction of investigative journalism, increased risk of lawsuits against journalists, unclear and restrictive legal terms, and a non-transparent, fast-tracked legislative process without meaningful participation from working groups or the public.</w:t>
            </w:r>
          </w:p>
          <w:p w14:paraId="37297326" w14:textId="4C3336EB" w:rsidR="009420AD" w:rsidRDefault="009420AD" w:rsidP="009420AD">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681563">
              <w:rPr>
                <w:sz w:val="20"/>
                <w:szCs w:val="20"/>
                <w:lang w:val="en-GB"/>
              </w:rPr>
              <w:t>Amendments to the Law on Public Media Services introduce</w:t>
            </w:r>
            <w:r>
              <w:rPr>
                <w:sz w:val="20"/>
                <w:szCs w:val="20"/>
                <w:lang w:val="en-GB"/>
              </w:rPr>
              <w:t>d</w:t>
            </w:r>
            <w:r w:rsidRPr="00681563">
              <w:rPr>
                <w:sz w:val="20"/>
                <w:szCs w:val="20"/>
                <w:lang w:val="en-GB"/>
              </w:rPr>
              <w:t xml:space="preserve"> certain positive changes. However, </w:t>
            </w:r>
            <w:r>
              <w:rPr>
                <w:sz w:val="20"/>
                <w:szCs w:val="20"/>
                <w:lang w:val="en-GB"/>
              </w:rPr>
              <w:t xml:space="preserve">as pointed by media associations, they </w:t>
            </w:r>
            <w:r w:rsidRPr="00681563">
              <w:rPr>
                <w:sz w:val="20"/>
                <w:szCs w:val="20"/>
                <w:lang w:val="en-GB"/>
              </w:rPr>
              <w:t>remain superficial and do not address fundamental issues such as editorial independence and the concentration of power.</w:t>
            </w:r>
          </w:p>
          <w:p w14:paraId="7FC5A0D3" w14:textId="77777777" w:rsidR="00DB1F97" w:rsidRPr="00DB1F97" w:rsidRDefault="00DB1F97" w:rsidP="00DB1F97">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
        </w:tc>
      </w:tr>
      <w:tr w:rsidR="00DB1F97" w:rsidRPr="00DB1F97" w14:paraId="200F0F8C"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3446DC1D" w14:textId="77777777" w:rsidR="00DB1F97" w:rsidRPr="005A696C" w:rsidRDefault="00DB1F97" w:rsidP="00DB1F97">
            <w:pPr>
              <w:spacing w:before="120" w:after="120"/>
              <w:rPr>
                <w:rFonts w:ascii="Aptos" w:eastAsia="Times New Roman" w:hAnsi="Aptos" w:cs="Times New Roman"/>
                <w:color w:val="FFFFFF" w:themeColor="background1"/>
                <w:kern w:val="0"/>
                <w:sz w:val="20"/>
                <w:szCs w:val="20"/>
                <w:lang w:eastAsia="en-GB"/>
                <w14:ligatures w14:val="none"/>
              </w:rPr>
            </w:pPr>
            <w:proofErr w:type="spellStart"/>
            <w:r w:rsidRPr="005A696C">
              <w:rPr>
                <w:rFonts w:ascii="Aptos" w:eastAsia="Times New Roman" w:hAnsi="Aptos" w:cs="Times New Roman"/>
                <w:color w:val="FFFFFF" w:themeColor="background1"/>
                <w:kern w:val="0"/>
                <w:sz w:val="20"/>
                <w:szCs w:val="20"/>
                <w:lang w:eastAsia="en-GB"/>
                <w14:ligatures w14:val="none"/>
              </w:rPr>
              <w:t>Analyse</w:t>
            </w:r>
            <w:proofErr w:type="spellEnd"/>
            <w:r w:rsidRPr="005A696C">
              <w:rPr>
                <w:rFonts w:ascii="Aptos" w:eastAsia="Times New Roman" w:hAnsi="Aptos" w:cs="Times New Roman"/>
                <w:color w:val="FFFFFF" w:themeColor="background1"/>
                <w:kern w:val="0"/>
                <w:sz w:val="20"/>
                <w:szCs w:val="20"/>
                <w:lang w:eastAsia="en-GB"/>
                <w14:ligatures w14:val="none"/>
              </w:rPr>
              <w:t xml:space="preserve"> how key principles of RGF were respected in the reform step implementation</w:t>
            </w:r>
          </w:p>
        </w:tc>
        <w:tc>
          <w:tcPr>
            <w:tcW w:w="6753" w:type="dxa"/>
          </w:tcPr>
          <w:p w14:paraId="1D77268B" w14:textId="77777777" w:rsidR="00DB1F97" w:rsidRPr="00DB1F97" w:rsidRDefault="00DB1F97" w:rsidP="00DB1F97">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DB1F97">
              <w:rPr>
                <w:i/>
                <w:iCs/>
                <w:sz w:val="20"/>
                <w:szCs w:val="20"/>
              </w:rPr>
              <w:t xml:space="preserve">How transparent has the reform step implementation been? How has civil society and the wider public been informed about it? What data and information, including key documents, have been made publicly available? </w:t>
            </w:r>
          </w:p>
          <w:p w14:paraId="7F0E6C72" w14:textId="77777777" w:rsidR="00DB1F97" w:rsidRPr="00DB1F97" w:rsidRDefault="00DB1F97" w:rsidP="00DB1F97">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DB1F97">
              <w:rPr>
                <w:i/>
                <w:iCs/>
                <w:sz w:val="20"/>
                <w:szCs w:val="20"/>
              </w:rPr>
              <w:t xml:space="preserve">How inclusive was the implementation process? Has the implementation of the reform step allowed for participation of interested stakeholders, especially civil society </w:t>
            </w:r>
            <w:proofErr w:type="spellStart"/>
            <w:r w:rsidRPr="00DB1F97">
              <w:rPr>
                <w:i/>
                <w:iCs/>
                <w:sz w:val="20"/>
                <w:szCs w:val="20"/>
              </w:rPr>
              <w:t>organisations</w:t>
            </w:r>
            <w:proofErr w:type="spellEnd"/>
            <w:r w:rsidRPr="00DB1F97">
              <w:rPr>
                <w:i/>
                <w:iCs/>
                <w:sz w:val="20"/>
                <w:szCs w:val="20"/>
              </w:rPr>
              <w:t xml:space="preserve"> and – where applicable – business community? How was such participation ensured? What were the issues regarding their participation, if any? </w:t>
            </w:r>
          </w:p>
          <w:p w14:paraId="67635C54" w14:textId="77777777" w:rsidR="00DB1F97" w:rsidRPr="00DB1F97" w:rsidRDefault="00DB1F97" w:rsidP="00DB1F97">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DB1F97">
              <w:rPr>
                <w:i/>
                <w:iCs/>
                <w:sz w:val="20"/>
                <w:szCs w:val="20"/>
              </w:rPr>
              <w:t xml:space="preserve">Depending on the reform step, provide an analysis of how other key RGF principles – apart from transparency and inclusivity </w:t>
            </w:r>
            <w:proofErr w:type="spellStart"/>
            <w:r w:rsidRPr="00DB1F97">
              <w:rPr>
                <w:i/>
                <w:iCs/>
                <w:sz w:val="20"/>
                <w:szCs w:val="20"/>
              </w:rPr>
              <w:t>analysed</w:t>
            </w:r>
            <w:proofErr w:type="spellEnd"/>
            <w:r w:rsidRPr="00DB1F97">
              <w:rPr>
                <w:i/>
                <w:iCs/>
                <w:sz w:val="20"/>
                <w:szCs w:val="20"/>
              </w:rPr>
              <w:t xml:space="preserve"> above – were respected in its implementation, as applicable: sound financial management, equal treatment, non-discrimination and proportionality for intended purpose. </w:t>
            </w:r>
          </w:p>
          <w:p w14:paraId="69D9F9B9" w14:textId="77777777" w:rsidR="00DB1F97" w:rsidRPr="00DB1F97" w:rsidRDefault="00DB1F97" w:rsidP="00DB1F97">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DB1F97">
              <w:rPr>
                <w:i/>
                <w:iCs/>
                <w:sz w:val="20"/>
                <w:szCs w:val="20"/>
              </w:rPr>
              <w:t>Please provide references wherever possible.</w:t>
            </w:r>
          </w:p>
          <w:p w14:paraId="6A4E2E08" w14:textId="77777777" w:rsidR="00DB1F97" w:rsidRPr="00DB1F97" w:rsidRDefault="00DB1F97" w:rsidP="00DB1F97">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r w:rsidRPr="00DB1F97">
              <w:rPr>
                <w:b/>
                <w:bCs/>
                <w:sz w:val="20"/>
                <w:szCs w:val="20"/>
              </w:rPr>
              <w:t>Key issues</w:t>
            </w:r>
          </w:p>
          <w:p w14:paraId="1A039AA4" w14:textId="6EC51428" w:rsidR="00DB1F97" w:rsidRPr="00DB1F97" w:rsidRDefault="004D4C4D" w:rsidP="00DB1F97">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hyperlink r:id="rId18" w:history="1">
              <w:r w:rsidRPr="004D4C4D">
                <w:rPr>
                  <w:rStyle w:val="Hyperlink"/>
                  <w:sz w:val="20"/>
                  <w:szCs w:val="20"/>
                </w:rPr>
                <w:t>The process</w:t>
              </w:r>
            </w:hyperlink>
            <w:r w:rsidRPr="004D4C4D">
              <w:rPr>
                <w:sz w:val="20"/>
                <w:szCs w:val="20"/>
              </w:rPr>
              <w:t>, which has lasted for more than a year and a half, was brought to a conclusion through an unacceptably accelerated procedure, short deadlines, and a lack of transparency, all justified by the need to align with European Commission recommendations.</w:t>
            </w:r>
            <w:r>
              <w:rPr>
                <w:sz w:val="20"/>
                <w:szCs w:val="20"/>
              </w:rPr>
              <w:t xml:space="preserve"> </w:t>
            </w:r>
            <w:r w:rsidR="000F1011">
              <w:rPr>
                <w:sz w:val="20"/>
                <w:szCs w:val="20"/>
              </w:rPr>
              <w:t>As media associations pointed, t</w:t>
            </w:r>
            <w:r w:rsidRPr="004D4C4D">
              <w:rPr>
                <w:sz w:val="20"/>
                <w:szCs w:val="20"/>
              </w:rPr>
              <w:t xml:space="preserve">he European Commission’s comments on the proposed drafts were submitted as early as December 2023, </w:t>
            </w:r>
            <w:r w:rsidRPr="004D4C4D">
              <w:rPr>
                <w:sz w:val="20"/>
                <w:szCs w:val="20"/>
              </w:rPr>
              <w:lastRenderedPageBreak/>
              <w:t xml:space="preserve">while the Ministry of Information and Telecommunications only decided to respond and form working groups </w:t>
            </w:r>
            <w:r w:rsidR="000F1011">
              <w:rPr>
                <w:sz w:val="20"/>
                <w:szCs w:val="20"/>
              </w:rPr>
              <w:t xml:space="preserve">only </w:t>
            </w:r>
            <w:r w:rsidRPr="004D4C4D">
              <w:rPr>
                <w:sz w:val="20"/>
                <w:szCs w:val="20"/>
              </w:rPr>
              <w:t>at the end of 2024. These groups were given an extremely short timeframe to work, without access to the draft versions sent to Brussels. Furthermore, despite repeated requests from journalists’ and media associations to organize a public consultation on the amendments to the Law on Public Information and Media and the Law on Electronic Media, the Ministry rejected this proposal.</w:t>
            </w:r>
            <w:r>
              <w:rPr>
                <w:sz w:val="20"/>
                <w:szCs w:val="20"/>
              </w:rPr>
              <w:t xml:space="preserve"> </w:t>
            </w:r>
            <w:r w:rsidR="00876EF3">
              <w:rPr>
                <w:sz w:val="20"/>
                <w:szCs w:val="20"/>
              </w:rPr>
              <w:t>Due to t</w:t>
            </w:r>
            <w:r w:rsidRPr="004D4C4D">
              <w:rPr>
                <w:sz w:val="20"/>
                <w:szCs w:val="20"/>
              </w:rPr>
              <w:t xml:space="preserve">he way </w:t>
            </w:r>
            <w:r w:rsidR="00876EF3">
              <w:rPr>
                <w:sz w:val="20"/>
                <w:szCs w:val="20"/>
              </w:rPr>
              <w:t xml:space="preserve">how </w:t>
            </w:r>
            <w:r w:rsidRPr="004D4C4D">
              <w:rPr>
                <w:sz w:val="20"/>
                <w:szCs w:val="20"/>
              </w:rPr>
              <w:t>this process was conducted, the amendments that were adopted</w:t>
            </w:r>
            <w:r w:rsidR="00876EF3">
              <w:rPr>
                <w:sz w:val="20"/>
                <w:szCs w:val="20"/>
              </w:rPr>
              <w:t xml:space="preserve"> rather</w:t>
            </w:r>
            <w:r w:rsidRPr="004D4C4D">
              <w:rPr>
                <w:sz w:val="20"/>
                <w:szCs w:val="20"/>
              </w:rPr>
              <w:t xml:space="preserve"> contribute</w:t>
            </w:r>
            <w:r w:rsidR="00876EF3">
              <w:rPr>
                <w:sz w:val="20"/>
                <w:szCs w:val="20"/>
              </w:rPr>
              <w:t>d</w:t>
            </w:r>
            <w:r w:rsidRPr="004D4C4D">
              <w:rPr>
                <w:sz w:val="20"/>
                <w:szCs w:val="20"/>
              </w:rPr>
              <w:t xml:space="preserve"> to the further erosion of media freedoms and the purpose of democratic procedures</w:t>
            </w:r>
            <w:r w:rsidR="00876EF3">
              <w:rPr>
                <w:sz w:val="20"/>
                <w:szCs w:val="20"/>
              </w:rPr>
              <w:t xml:space="preserve"> than to the compliance with EU standards</w:t>
            </w:r>
            <w:r w:rsidRPr="004D4C4D">
              <w:rPr>
                <w:sz w:val="20"/>
                <w:szCs w:val="20"/>
              </w:rPr>
              <w:t>.</w:t>
            </w:r>
          </w:p>
          <w:p w14:paraId="17503C94" w14:textId="77777777" w:rsidR="00DB1F97" w:rsidRPr="00DB1F97" w:rsidRDefault="00DB1F97" w:rsidP="00DB1F97">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r w:rsidRPr="00DB1F97">
              <w:rPr>
                <w:b/>
                <w:bCs/>
                <w:sz w:val="20"/>
                <w:szCs w:val="20"/>
              </w:rPr>
              <w:t>Transparency</w:t>
            </w:r>
          </w:p>
          <w:p w14:paraId="74501FB9" w14:textId="00473368" w:rsidR="00DB1F97" w:rsidRPr="00DB1F97" w:rsidRDefault="00B04A36" w:rsidP="00876EF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B04A36">
              <w:rPr>
                <w:sz w:val="20"/>
                <w:szCs w:val="20"/>
              </w:rPr>
              <w:t>Journalists’ associations and civil society organizations raised concerns about transparency throughout the process. These concerns included incomplete information on candidate eligibility and submission deadlines, limited public access to draft laws, working group reports</w:t>
            </w:r>
            <w:r w:rsidR="00876EF3">
              <w:rPr>
                <w:sz w:val="20"/>
                <w:szCs w:val="20"/>
              </w:rPr>
              <w:t xml:space="preserve"> </w:t>
            </w:r>
            <w:r w:rsidRPr="00B04A36">
              <w:rPr>
                <w:sz w:val="20"/>
                <w:szCs w:val="20"/>
              </w:rPr>
              <w:t xml:space="preserve">and insufficient public records or announcements from meetings, which made the process appear closed or partially politically controlled. </w:t>
            </w:r>
          </w:p>
          <w:p w14:paraId="1A101CAD" w14:textId="77777777" w:rsidR="00DB1F97" w:rsidRDefault="00DB1F97" w:rsidP="00DB1F97">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r w:rsidRPr="00DB1F97">
              <w:rPr>
                <w:b/>
                <w:bCs/>
                <w:sz w:val="20"/>
                <w:szCs w:val="20"/>
              </w:rPr>
              <w:t>Inclusivity</w:t>
            </w:r>
          </w:p>
          <w:p w14:paraId="40DE0267" w14:textId="3334EC69" w:rsidR="004D4C4D" w:rsidRPr="00DB1F97" w:rsidRDefault="004D4C4D" w:rsidP="00876EF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D4C4D">
              <w:rPr>
                <w:sz w:val="20"/>
                <w:szCs w:val="20"/>
              </w:rPr>
              <w:t xml:space="preserve">According to </w:t>
            </w:r>
            <w:hyperlink r:id="rId19" w:history="1">
              <w:r w:rsidRPr="004D4C4D">
                <w:rPr>
                  <w:rStyle w:val="Hyperlink"/>
                  <w:sz w:val="20"/>
                  <w:szCs w:val="20"/>
                </w:rPr>
                <w:t>assessments</w:t>
              </w:r>
            </w:hyperlink>
            <w:r w:rsidRPr="004D4C4D">
              <w:rPr>
                <w:sz w:val="20"/>
                <w:szCs w:val="20"/>
              </w:rPr>
              <w:t xml:space="preserve"> by media associations, the process of amending and supplementing the three media laws was marked by serious shortcomings and flaws, not only in terms of procedure but also regarding the substance of the laws. The process was significantly delayed, there was no public consultation for the Law on Electronic Media or the Law on Public Information and Media, and the Law on Public Media Services failed to close avenues for political financing. The deadline for comments was only 48 hours after all three laws, including the Law on Public Media Services, were presented at a single meeting of all working groups, effectively undermining the democratic procedure.</w:t>
            </w:r>
            <w:r w:rsidR="00876EF3">
              <w:rPr>
                <w:sz w:val="20"/>
                <w:szCs w:val="20"/>
              </w:rPr>
              <w:t xml:space="preserve"> </w:t>
            </w:r>
            <w:r w:rsidR="00876EF3" w:rsidRPr="00876EF3">
              <w:rPr>
                <w:sz w:val="20"/>
                <w:szCs w:val="20"/>
                <w:lang w:val="en-GB"/>
              </w:rPr>
              <w:t>On the other hand, the previously organised public debate on the Law on Public Broadcasting Services was inclusive, but the total time allocated for this debate was insufficient.</w:t>
            </w:r>
          </w:p>
        </w:tc>
      </w:tr>
      <w:tr w:rsidR="00DB1F97" w:rsidRPr="00DB1F97" w14:paraId="1417CD1E"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7CD43770" w14:textId="77777777" w:rsidR="00DB1F97" w:rsidRPr="005A696C" w:rsidRDefault="00DB1F97" w:rsidP="00DB1F97">
            <w:pPr>
              <w:spacing w:before="120" w:after="120"/>
              <w:rPr>
                <w:rFonts w:ascii="Aptos" w:eastAsia="Times New Roman" w:hAnsi="Aptos" w:cs="Times New Roman"/>
                <w:color w:val="FFFFFF" w:themeColor="background1"/>
                <w:kern w:val="0"/>
                <w:sz w:val="20"/>
                <w:szCs w:val="20"/>
                <w:lang w:eastAsia="en-GB"/>
                <w14:ligatures w14:val="none"/>
              </w:rPr>
            </w:pPr>
            <w:r w:rsidRPr="005A696C">
              <w:rPr>
                <w:rFonts w:ascii="Aptos" w:eastAsia="Times New Roman" w:hAnsi="Aptos" w:cs="Times New Roman"/>
                <w:color w:val="FFFFFF" w:themeColor="background1"/>
                <w:kern w:val="0"/>
                <w:sz w:val="20"/>
                <w:szCs w:val="20"/>
                <w:lang w:eastAsia="en-GB"/>
                <w14:ligatures w14:val="none"/>
              </w:rPr>
              <w:lastRenderedPageBreak/>
              <w:t>Public availability of evidence of implementation</w:t>
            </w:r>
          </w:p>
        </w:tc>
        <w:tc>
          <w:tcPr>
            <w:tcW w:w="6753" w:type="dxa"/>
          </w:tcPr>
          <w:p w14:paraId="745FABC3" w14:textId="77777777" w:rsidR="00DB1F97" w:rsidRPr="00DB1F97" w:rsidRDefault="00DB1F97" w:rsidP="00DB1F97">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DB1F97">
              <w:rPr>
                <w:i/>
                <w:iCs/>
                <w:sz w:val="20"/>
                <w:szCs w:val="20"/>
              </w:rPr>
              <w:t>Has the final source of verification (as per Reform Agenda) been made publicly available? If yes, please list the source (provide link) and date.</w:t>
            </w:r>
          </w:p>
          <w:p w14:paraId="154D3D39" w14:textId="1365B036" w:rsidR="00DB1F97" w:rsidRDefault="00876EF3" w:rsidP="00DB1F97">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Amendments adopted on June 16</w:t>
            </w:r>
            <w:r w:rsidRPr="00876EF3">
              <w:rPr>
                <w:sz w:val="20"/>
                <w:szCs w:val="20"/>
                <w:vertAlign w:val="superscript"/>
                <w:lang w:val="en-GB"/>
              </w:rPr>
              <w:t>th</w:t>
            </w:r>
            <w:r>
              <w:rPr>
                <w:sz w:val="20"/>
                <w:szCs w:val="20"/>
                <w:lang w:val="en-GB"/>
              </w:rPr>
              <w:t xml:space="preserve"> 2025 are publicly available:</w:t>
            </w:r>
          </w:p>
          <w:p w14:paraId="2C7FEE98" w14:textId="4467B151" w:rsidR="00DB1F97" w:rsidRDefault="00876EF3" w:rsidP="00876EF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hyperlink r:id="rId20" w:history="1">
              <w:r w:rsidRPr="003103FE">
                <w:rPr>
                  <w:rStyle w:val="Hyperlink"/>
                  <w:sz w:val="20"/>
                  <w:szCs w:val="20"/>
                </w:rPr>
                <w:t>https://www.parlament.gov.rs/upload/archive/files/cir/pdf/zakoni/14_saziv/1115-25.pdf</w:t>
              </w:r>
            </w:hyperlink>
          </w:p>
          <w:p w14:paraId="008637D5" w14:textId="6FA200EB" w:rsidR="00876EF3" w:rsidRDefault="00876EF3" w:rsidP="00876EF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hyperlink r:id="rId21" w:history="1">
              <w:r w:rsidRPr="003103FE">
                <w:rPr>
                  <w:rStyle w:val="Hyperlink"/>
                  <w:sz w:val="20"/>
                  <w:szCs w:val="20"/>
                </w:rPr>
                <w:t>https://www.parlament.gov.rs/upload/archive/files/cir/pdf/zakoni/14_saziv/1116-25.pdf</w:t>
              </w:r>
            </w:hyperlink>
          </w:p>
          <w:p w14:paraId="5A4E9786" w14:textId="5458267D" w:rsidR="00876EF3" w:rsidRPr="00DB1F97" w:rsidRDefault="00876EF3" w:rsidP="00876EF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hyperlink r:id="rId22" w:history="1">
              <w:r w:rsidRPr="003103FE">
                <w:rPr>
                  <w:rStyle w:val="Hyperlink"/>
                  <w:sz w:val="20"/>
                  <w:szCs w:val="20"/>
                </w:rPr>
                <w:t>https://www.parlament.gov.rs/upload/archive/files/cir/pdf/zakoni/14_saziv/924-25.pdf</w:t>
              </w:r>
            </w:hyperlink>
            <w:r>
              <w:rPr>
                <w:sz w:val="20"/>
                <w:szCs w:val="20"/>
              </w:rPr>
              <w:t xml:space="preserve"> </w:t>
            </w:r>
          </w:p>
        </w:tc>
      </w:tr>
      <w:tr w:rsidR="00DB1F97" w:rsidRPr="00DB1F97" w14:paraId="3B2B1DDA"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7024BEC7" w14:textId="77777777" w:rsidR="00DB1F97" w:rsidRPr="005A696C" w:rsidRDefault="00DB1F97" w:rsidP="00DB1F97">
            <w:pPr>
              <w:spacing w:before="120" w:after="120"/>
              <w:rPr>
                <w:rFonts w:ascii="Aptos" w:eastAsia="Times New Roman" w:hAnsi="Aptos" w:cs="Times New Roman"/>
                <w:color w:val="FFFFFF" w:themeColor="background1"/>
                <w:kern w:val="0"/>
                <w:sz w:val="20"/>
                <w:szCs w:val="20"/>
                <w:lang w:eastAsia="en-GB"/>
                <w14:ligatures w14:val="none"/>
              </w:rPr>
            </w:pPr>
            <w:proofErr w:type="spellStart"/>
            <w:r w:rsidRPr="005A696C">
              <w:rPr>
                <w:rFonts w:ascii="Aptos" w:eastAsia="Times New Roman" w:hAnsi="Aptos" w:cs="Times New Roman"/>
                <w:color w:val="FFFFFF" w:themeColor="background1"/>
                <w:kern w:val="0"/>
                <w:sz w:val="20"/>
                <w:szCs w:val="20"/>
                <w:lang w:eastAsia="en-GB"/>
                <w14:ligatures w14:val="none"/>
              </w:rPr>
              <w:t>Analyse</w:t>
            </w:r>
            <w:proofErr w:type="spellEnd"/>
            <w:r w:rsidRPr="005A696C">
              <w:rPr>
                <w:rFonts w:ascii="Aptos" w:eastAsia="Times New Roman" w:hAnsi="Aptos" w:cs="Times New Roman"/>
                <w:color w:val="FFFFFF" w:themeColor="background1"/>
                <w:kern w:val="0"/>
                <w:sz w:val="20"/>
                <w:szCs w:val="20"/>
                <w:lang w:eastAsia="en-GB"/>
                <w14:ligatures w14:val="none"/>
              </w:rPr>
              <w:t xml:space="preserve"> quality of the final output of the reform step</w:t>
            </w:r>
          </w:p>
        </w:tc>
        <w:tc>
          <w:tcPr>
            <w:tcW w:w="6753" w:type="dxa"/>
          </w:tcPr>
          <w:p w14:paraId="4CB7D20D" w14:textId="77777777" w:rsidR="00DB1F97" w:rsidRPr="00DB1F97" w:rsidRDefault="00DB1F97" w:rsidP="00DB1F97">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DB1F97">
              <w:rPr>
                <w:i/>
                <w:iCs/>
                <w:sz w:val="20"/>
                <w:szCs w:val="20"/>
              </w:rPr>
              <w:t xml:space="preserve">To what extent does the final output of this reform step respect the applicable EU membership requirements/principles/standards? </w:t>
            </w:r>
          </w:p>
          <w:p w14:paraId="43021D01" w14:textId="284DB8FF" w:rsidR="00DB1F97" w:rsidRDefault="005425CF" w:rsidP="00DB1F97">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5425CF">
              <w:rPr>
                <w:sz w:val="20"/>
                <w:szCs w:val="20"/>
              </w:rPr>
              <w:t>Despite the adoption of amendments to the three media laws, several key challenges remain. The Law on Electronic Media still leaves the Regulatory Authority (REM) vulnerable to political influence, while the Law on Public Service Media allows excessive powers for general directors and does not fully close avenues for political financing. The Law on Public Information and Media contains vague provisions on public funding and procurement</w:t>
            </w:r>
            <w:r w:rsidR="00876EF3">
              <w:rPr>
                <w:sz w:val="20"/>
                <w:szCs w:val="20"/>
              </w:rPr>
              <w:t xml:space="preserve"> as well as provisions </w:t>
            </w:r>
            <w:r w:rsidRPr="005425CF">
              <w:rPr>
                <w:sz w:val="20"/>
                <w:szCs w:val="20"/>
              </w:rPr>
              <w:t>which could be misused against investigative journalism. Furthermore, the legislative process itself lacked transparency and inclusiveness, with rushed deadlines and minimal public consultation, undermining the legitimacy of the adopted reforms.</w:t>
            </w:r>
          </w:p>
          <w:p w14:paraId="212B2572" w14:textId="6DECC398" w:rsidR="00B90156" w:rsidRDefault="00B90156" w:rsidP="00DB1F97">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B90156">
              <w:rPr>
                <w:sz w:val="20"/>
                <w:szCs w:val="20"/>
              </w:rPr>
              <w:lastRenderedPageBreak/>
              <w:t>Law on Public Information and Media (ZJIM)</w:t>
            </w:r>
            <w:r>
              <w:rPr>
                <w:sz w:val="20"/>
                <w:szCs w:val="20"/>
              </w:rPr>
              <w:t>:</w:t>
            </w:r>
          </w:p>
          <w:p w14:paraId="72E192B4" w14:textId="5E905180" w:rsidR="00B90156" w:rsidRDefault="00B90156" w:rsidP="00DB1F97">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B90156">
              <w:rPr>
                <w:sz w:val="20"/>
                <w:szCs w:val="20"/>
              </w:rPr>
              <w:t>Although it declaratively affirms freedom of expression and the presumption of innocence (Articles 84 and 85), these provisions can be applied arbitrarily against investigative journalists. The European Commission’s request to precisely define services within public procurement was ignored, while the new Article 39a introduce</w:t>
            </w:r>
            <w:r w:rsidR="00876EF3">
              <w:rPr>
                <w:sz w:val="20"/>
                <w:szCs w:val="20"/>
              </w:rPr>
              <w:t>d</w:t>
            </w:r>
            <w:r w:rsidRPr="00B90156">
              <w:rPr>
                <w:sz w:val="20"/>
                <w:szCs w:val="20"/>
              </w:rPr>
              <w:t xml:space="preserve"> obligations for state-owned or partially state-owned media without independent oversight or sanctions, relying solely on self-regulation. These measures do not ensure genuine editorial independence and may legitimize political influence, undermining the objectives of the 2020–2025 Media Strategy and free journalism.</w:t>
            </w:r>
          </w:p>
          <w:p w14:paraId="2BB50A3B" w14:textId="77777777" w:rsidR="00B90156" w:rsidRDefault="00B90156" w:rsidP="00DB1F97">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B90156">
              <w:rPr>
                <w:sz w:val="20"/>
                <w:szCs w:val="20"/>
              </w:rPr>
              <w:t>Law on Electronic Media</w:t>
            </w:r>
            <w:r>
              <w:rPr>
                <w:sz w:val="20"/>
                <w:szCs w:val="20"/>
              </w:rPr>
              <w:t>:</w:t>
            </w:r>
          </w:p>
          <w:p w14:paraId="5E294AEA" w14:textId="4A7BC62C" w:rsidR="00B90156" w:rsidRPr="00DB1F97" w:rsidRDefault="00B90156" w:rsidP="00DB1F97">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B90156">
              <w:rPr>
                <w:sz w:val="20"/>
                <w:szCs w:val="20"/>
              </w:rPr>
              <w:t>The amendments formally strengthen the functional independence of the Regulatory Authority for Electronic Media (REM). The law shifts additional responsibility onto media service providers for content containing hate speech, violence, discrimination, and other harmful material, with fines ranging from 500,000 to 2,000,000 RSD. While this appears decisive on paper, the legislation still fails to regulate key election-related issues, such as covert political advertising, official campaigns, and political marketing—longstanding problems highlighted by domestic and international observers of Serbia’s electoral processes.</w:t>
            </w:r>
          </w:p>
          <w:p w14:paraId="0B1E9F40" w14:textId="77777777" w:rsidR="00B90156" w:rsidRDefault="00B90156" w:rsidP="00DB1F97">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B90156">
              <w:rPr>
                <w:sz w:val="20"/>
                <w:szCs w:val="20"/>
              </w:rPr>
              <w:t>Law on Public Media Services</w:t>
            </w:r>
            <w:r>
              <w:rPr>
                <w:sz w:val="20"/>
                <w:szCs w:val="20"/>
              </w:rPr>
              <w:t>:</w:t>
            </w:r>
          </w:p>
          <w:p w14:paraId="2E382689" w14:textId="370C4BF6" w:rsidR="00DB1F97" w:rsidRPr="00DB1F97" w:rsidRDefault="00B90156" w:rsidP="0066403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B90156">
              <w:rPr>
                <w:sz w:val="20"/>
                <w:szCs w:val="20"/>
              </w:rPr>
              <w:t>The new law introduces some positive changes, such as clearer regulation of subscription fees, the Program Council gaining the authority to appoint the Viewer and Listener Rights Commissioner, and the removal of the “national” designation. However, it fails to address key issues of editorial independence and power concentration. The Commissioner remains marginalized, serving on a part-time basis without the ability to initiate procedures independently. The general director retains excessive power, as the Board of Directors still lacks authority over editorial appointments. Budgetary rules, while declaratively banning political influence, leave room for abuse through vague categories like “projects of special social importance,” potentially enabling political favoritism under the guise of reform.</w:t>
            </w:r>
          </w:p>
        </w:tc>
      </w:tr>
    </w:tbl>
    <w:p w14:paraId="00250400" w14:textId="77777777" w:rsidR="00DB1F97" w:rsidRPr="00DB1F97" w:rsidRDefault="00DB1F97" w:rsidP="00DB1F97">
      <w:pPr>
        <w:spacing w:after="0" w:line="240" w:lineRule="auto"/>
        <w:rPr>
          <w:sz w:val="24"/>
          <w:szCs w:val="24"/>
          <w:lang w:val="en-US"/>
        </w:rPr>
      </w:pPr>
    </w:p>
    <w:p w14:paraId="27171246" w14:textId="77777777" w:rsidR="00DB1F97" w:rsidRPr="00DB1F97" w:rsidRDefault="00DB1F97" w:rsidP="00DB1F97">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DB1F97">
        <w:rPr>
          <w:rFonts w:asciiTheme="majorHAnsi" w:eastAsiaTheme="majorEastAsia" w:hAnsiTheme="majorHAnsi" w:cstheme="majorBidi"/>
          <w:color w:val="2F5496" w:themeColor="accent1" w:themeShade="BF"/>
          <w:sz w:val="40"/>
          <w:szCs w:val="40"/>
        </w:rPr>
        <w:t>Final assessment</w:t>
      </w:r>
    </w:p>
    <w:p w14:paraId="3B24C998" w14:textId="77777777" w:rsidR="00DB1F97" w:rsidRPr="00DB1F97" w:rsidRDefault="00DB1F97" w:rsidP="00DB1F97">
      <w:pPr>
        <w:spacing w:after="0" w:line="240" w:lineRule="auto"/>
        <w:rPr>
          <w:sz w:val="24"/>
          <w:szCs w:val="24"/>
        </w:rPr>
      </w:pPr>
    </w:p>
    <w:tbl>
      <w:tblPr>
        <w:tblStyle w:val="GridTable1Light"/>
        <w:tblW w:w="0" w:type="auto"/>
        <w:tblLook w:val="0480" w:firstRow="0" w:lastRow="0" w:firstColumn="1" w:lastColumn="0" w:noHBand="0" w:noVBand="1"/>
      </w:tblPr>
      <w:tblGrid>
        <w:gridCol w:w="2263"/>
        <w:gridCol w:w="6753"/>
      </w:tblGrid>
      <w:tr w:rsidR="005A696C" w:rsidRPr="005A696C" w14:paraId="4DE5495C"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0D569CFF" w14:textId="46676A9C" w:rsidR="00DB1F97" w:rsidRPr="005A696C" w:rsidRDefault="00DB1F97" w:rsidP="00DB1F97">
            <w:pPr>
              <w:spacing w:before="60" w:after="60"/>
              <w:rPr>
                <w:color w:val="FFFFFF" w:themeColor="background1"/>
                <w:sz w:val="20"/>
                <w:szCs w:val="20"/>
              </w:rPr>
            </w:pPr>
            <w:r w:rsidRPr="005A696C">
              <w:rPr>
                <w:color w:val="FFFFFF" w:themeColor="background1"/>
                <w:sz w:val="20"/>
                <w:szCs w:val="20"/>
              </w:rPr>
              <w:t>Assess formal achievement</w:t>
            </w:r>
          </w:p>
        </w:tc>
        <w:tc>
          <w:tcPr>
            <w:tcW w:w="6753" w:type="dxa"/>
          </w:tcPr>
          <w:p w14:paraId="585EF4E1" w14:textId="16C1F0CF" w:rsidR="00DB1F97" w:rsidRPr="005A696C" w:rsidRDefault="00BD614E" w:rsidP="00DB1F97">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5A696C">
              <w:rPr>
                <w:sz w:val="20"/>
                <w:szCs w:val="20"/>
              </w:rPr>
              <w:t>Not achieved.</w:t>
            </w:r>
          </w:p>
        </w:tc>
      </w:tr>
      <w:tr w:rsidR="005A696C" w:rsidRPr="005A696C" w14:paraId="3953FCAE"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703C1E4B" w14:textId="77777777" w:rsidR="00DB1F97" w:rsidRPr="005A696C" w:rsidRDefault="00DB1F97" w:rsidP="00DB1F97">
            <w:pPr>
              <w:spacing w:before="60" w:after="60"/>
              <w:rPr>
                <w:color w:val="FFFFFF" w:themeColor="background1"/>
                <w:sz w:val="20"/>
                <w:szCs w:val="20"/>
              </w:rPr>
            </w:pPr>
            <w:r w:rsidRPr="005A696C">
              <w:rPr>
                <w:color w:val="FFFFFF" w:themeColor="background1"/>
                <w:sz w:val="20"/>
                <w:szCs w:val="20"/>
              </w:rPr>
              <w:t>Elaboration of final assessment</w:t>
            </w:r>
          </w:p>
        </w:tc>
        <w:tc>
          <w:tcPr>
            <w:tcW w:w="6753" w:type="dxa"/>
          </w:tcPr>
          <w:p w14:paraId="1394891C" w14:textId="77777777" w:rsidR="00BD614E" w:rsidRPr="005A696C" w:rsidRDefault="004E05C3" w:rsidP="00DB1F97">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5A696C">
              <w:rPr>
                <w:sz w:val="20"/>
                <w:szCs w:val="20"/>
              </w:rPr>
              <w:t xml:space="preserve">The laws have been adopted, but their provisions have not resolved the key problems in the media sector. </w:t>
            </w:r>
          </w:p>
          <w:p w14:paraId="643AA836" w14:textId="38B20490" w:rsidR="00DB1F97" w:rsidRPr="005A696C" w:rsidRDefault="00BD614E" w:rsidP="00BD614E">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5A696C">
              <w:rPr>
                <w:sz w:val="20"/>
                <w:szCs w:val="20"/>
                <w:lang w:val="en-GB"/>
              </w:rPr>
              <w:t>While the process of amending the legislation included consultations with the European Commission, as noted in the Reform Agenda, and partially contributed to aligning the laws with EU standards at the time, the adoption procedure contravened Serbian legislation and core EU values. It also failed to address the problems identified in the Serbian Government’s Media Strategy, as well as the major concerns of journalists and media in Serbia.</w:t>
            </w:r>
          </w:p>
        </w:tc>
      </w:tr>
    </w:tbl>
    <w:p w14:paraId="176F7561" w14:textId="77777777" w:rsidR="00FB11D0" w:rsidRDefault="00FB11D0"/>
    <w:sectPr w:rsidR="00FB11D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71725" w14:textId="77777777" w:rsidR="00A27933" w:rsidRDefault="00A27933" w:rsidP="00DB1F97">
      <w:pPr>
        <w:spacing w:after="0" w:line="240" w:lineRule="auto"/>
      </w:pPr>
      <w:r>
        <w:separator/>
      </w:r>
    </w:p>
  </w:endnote>
  <w:endnote w:type="continuationSeparator" w:id="0">
    <w:p w14:paraId="62D0ED16" w14:textId="77777777" w:rsidR="00A27933" w:rsidRDefault="00A27933" w:rsidP="00DB1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F7B0F" w14:textId="77777777" w:rsidR="00A27933" w:rsidRDefault="00A27933" w:rsidP="00DB1F97">
      <w:pPr>
        <w:spacing w:after="0" w:line="240" w:lineRule="auto"/>
      </w:pPr>
      <w:r>
        <w:separator/>
      </w:r>
    </w:p>
  </w:footnote>
  <w:footnote w:type="continuationSeparator" w:id="0">
    <w:p w14:paraId="45D9A665" w14:textId="77777777" w:rsidR="00A27933" w:rsidRDefault="00A27933" w:rsidP="00DB1F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2CE55FC"/>
    <w:multiLevelType w:val="hybridMultilevel"/>
    <w:tmpl w:val="F8821E12"/>
    <w:lvl w:ilvl="0" w:tplc="1F2EA52A">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9074005">
    <w:abstractNumId w:val="0"/>
  </w:num>
  <w:num w:numId="2" w16cid:durableId="1811746263">
    <w:abstractNumId w:val="1"/>
  </w:num>
  <w:num w:numId="3" w16cid:durableId="7325854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F97"/>
    <w:rsid w:val="000C2EF8"/>
    <w:rsid w:val="000F1011"/>
    <w:rsid w:val="001301EF"/>
    <w:rsid w:val="00323F46"/>
    <w:rsid w:val="004239EC"/>
    <w:rsid w:val="004332F5"/>
    <w:rsid w:val="004B5BEC"/>
    <w:rsid w:val="004D4C4D"/>
    <w:rsid w:val="004E05C3"/>
    <w:rsid w:val="004E51AC"/>
    <w:rsid w:val="005425CF"/>
    <w:rsid w:val="005A696C"/>
    <w:rsid w:val="005C038D"/>
    <w:rsid w:val="00664033"/>
    <w:rsid w:val="00681563"/>
    <w:rsid w:val="006C77CC"/>
    <w:rsid w:val="006E4FF5"/>
    <w:rsid w:val="00876EF3"/>
    <w:rsid w:val="0089660E"/>
    <w:rsid w:val="008F259F"/>
    <w:rsid w:val="009420AD"/>
    <w:rsid w:val="0097774B"/>
    <w:rsid w:val="009B11E9"/>
    <w:rsid w:val="00A012B5"/>
    <w:rsid w:val="00A27933"/>
    <w:rsid w:val="00AB6E8D"/>
    <w:rsid w:val="00AE3B5F"/>
    <w:rsid w:val="00B044BC"/>
    <w:rsid w:val="00B04A36"/>
    <w:rsid w:val="00B90156"/>
    <w:rsid w:val="00BD614E"/>
    <w:rsid w:val="00BF31B9"/>
    <w:rsid w:val="00C20A59"/>
    <w:rsid w:val="00C90450"/>
    <w:rsid w:val="00D55FFA"/>
    <w:rsid w:val="00D778E0"/>
    <w:rsid w:val="00DB1F97"/>
    <w:rsid w:val="00DD1510"/>
    <w:rsid w:val="00FB11D0"/>
    <w:rsid w:val="00FD207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EE285"/>
  <w15:chartTrackingRefBased/>
  <w15:docId w15:val="{428D7999-65FA-436B-AB94-6CCF1265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1F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B1F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B1F9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B1F9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B1F9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B1F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1F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1F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1F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1F9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B1F9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B1F9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B1F9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B1F9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B1F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1F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1F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1F97"/>
    <w:rPr>
      <w:rFonts w:eastAsiaTheme="majorEastAsia" w:cstheme="majorBidi"/>
      <w:color w:val="272727" w:themeColor="text1" w:themeTint="D8"/>
    </w:rPr>
  </w:style>
  <w:style w:type="paragraph" w:styleId="Title">
    <w:name w:val="Title"/>
    <w:basedOn w:val="Normal"/>
    <w:next w:val="Normal"/>
    <w:link w:val="TitleChar"/>
    <w:uiPriority w:val="10"/>
    <w:qFormat/>
    <w:rsid w:val="00DB1F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1F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1F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1F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1F97"/>
    <w:pPr>
      <w:spacing w:before="160"/>
      <w:jc w:val="center"/>
    </w:pPr>
    <w:rPr>
      <w:i/>
      <w:iCs/>
      <w:color w:val="404040" w:themeColor="text1" w:themeTint="BF"/>
    </w:rPr>
  </w:style>
  <w:style w:type="character" w:customStyle="1" w:styleId="QuoteChar">
    <w:name w:val="Quote Char"/>
    <w:basedOn w:val="DefaultParagraphFont"/>
    <w:link w:val="Quote"/>
    <w:uiPriority w:val="29"/>
    <w:rsid w:val="00DB1F97"/>
    <w:rPr>
      <w:i/>
      <w:iCs/>
      <w:color w:val="404040" w:themeColor="text1" w:themeTint="BF"/>
    </w:rPr>
  </w:style>
  <w:style w:type="paragraph" w:styleId="ListParagraph">
    <w:name w:val="List Paragraph"/>
    <w:basedOn w:val="Normal"/>
    <w:uiPriority w:val="34"/>
    <w:qFormat/>
    <w:rsid w:val="00DB1F97"/>
    <w:pPr>
      <w:ind w:left="720"/>
      <w:contextualSpacing/>
    </w:pPr>
  </w:style>
  <w:style w:type="character" w:styleId="IntenseEmphasis">
    <w:name w:val="Intense Emphasis"/>
    <w:basedOn w:val="DefaultParagraphFont"/>
    <w:uiPriority w:val="21"/>
    <w:qFormat/>
    <w:rsid w:val="00DB1F97"/>
    <w:rPr>
      <w:i/>
      <w:iCs/>
      <w:color w:val="2F5496" w:themeColor="accent1" w:themeShade="BF"/>
    </w:rPr>
  </w:style>
  <w:style w:type="paragraph" w:styleId="IntenseQuote">
    <w:name w:val="Intense Quote"/>
    <w:basedOn w:val="Normal"/>
    <w:next w:val="Normal"/>
    <w:link w:val="IntenseQuoteChar"/>
    <w:uiPriority w:val="30"/>
    <w:qFormat/>
    <w:rsid w:val="00DB1F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B1F97"/>
    <w:rPr>
      <w:i/>
      <w:iCs/>
      <w:color w:val="2F5496" w:themeColor="accent1" w:themeShade="BF"/>
    </w:rPr>
  </w:style>
  <w:style w:type="character" w:styleId="IntenseReference">
    <w:name w:val="Intense Reference"/>
    <w:basedOn w:val="DefaultParagraphFont"/>
    <w:uiPriority w:val="32"/>
    <w:qFormat/>
    <w:rsid w:val="00DB1F97"/>
    <w:rPr>
      <w:b/>
      <w:bCs/>
      <w:smallCaps/>
      <w:color w:val="2F5496" w:themeColor="accent1" w:themeShade="BF"/>
      <w:spacing w:val="5"/>
    </w:rPr>
  </w:style>
  <w:style w:type="table" w:styleId="GridTable1Light">
    <w:name w:val="Grid Table 1 Light"/>
    <w:basedOn w:val="TableNormal"/>
    <w:uiPriority w:val="46"/>
    <w:rsid w:val="00DB1F97"/>
    <w:pPr>
      <w:spacing w:after="0" w:line="240" w:lineRule="auto"/>
    </w:pPr>
    <w:rPr>
      <w:sz w:val="24"/>
      <w:szCs w:val="24"/>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DB1F97"/>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DB1F97"/>
    <w:rPr>
      <w:sz w:val="20"/>
      <w:szCs w:val="20"/>
      <w:lang w:val="en-US"/>
    </w:rPr>
  </w:style>
  <w:style w:type="character" w:styleId="FootnoteReference">
    <w:name w:val="footnote reference"/>
    <w:basedOn w:val="DefaultParagraphFont"/>
    <w:uiPriority w:val="99"/>
    <w:semiHidden/>
    <w:unhideWhenUsed/>
    <w:rsid w:val="00DB1F97"/>
    <w:rPr>
      <w:vertAlign w:val="superscript"/>
    </w:rPr>
  </w:style>
  <w:style w:type="character" w:styleId="Hyperlink">
    <w:name w:val="Hyperlink"/>
    <w:basedOn w:val="DefaultParagraphFont"/>
    <w:uiPriority w:val="99"/>
    <w:unhideWhenUsed/>
    <w:rsid w:val="000C2EF8"/>
    <w:rPr>
      <w:color w:val="0563C1" w:themeColor="hyperlink"/>
      <w:u w:val="single"/>
    </w:rPr>
  </w:style>
  <w:style w:type="character" w:styleId="UnresolvedMention">
    <w:name w:val="Unresolved Mention"/>
    <w:basedOn w:val="DefaultParagraphFont"/>
    <w:uiPriority w:val="99"/>
    <w:semiHidden/>
    <w:unhideWhenUsed/>
    <w:rsid w:val="000C2EF8"/>
    <w:rPr>
      <w:color w:val="605E5C"/>
      <w:shd w:val="clear" w:color="auto" w:fill="E1DFDD"/>
    </w:rPr>
  </w:style>
  <w:style w:type="character" w:styleId="FollowedHyperlink">
    <w:name w:val="FollowedHyperlink"/>
    <w:basedOn w:val="DefaultParagraphFont"/>
    <w:uiPriority w:val="99"/>
    <w:semiHidden/>
    <w:unhideWhenUsed/>
    <w:rsid w:val="00B044BC"/>
    <w:rPr>
      <w:color w:val="954F72" w:themeColor="followedHyperlink"/>
      <w:u w:val="single"/>
    </w:rPr>
  </w:style>
  <w:style w:type="paragraph" w:styleId="Revision">
    <w:name w:val="Revision"/>
    <w:hidden/>
    <w:uiPriority w:val="99"/>
    <w:semiHidden/>
    <w:rsid w:val="005C03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t.gov.rs/vest/11367/odrzani-prvi-sastanci-radnih-grupa-za-izradu-nacrta-zakona-o-izmenama-i-dopunama-zakona-o-javnom-informisanju-i-medijima-i-nacrta-zakona-o-izmenama-i-dopunama-zakona-o-elektronskim-medijima.php" TargetMode="External"/><Relationship Id="rId13" Type="http://schemas.openxmlformats.org/officeDocument/2006/relationships/hyperlink" Target="https://www.parlament.gov.rs/akti/doneti-zakoni/doneti-zakoni.1033.html" TargetMode="External"/><Relationship Id="rId18" Type="http://schemas.openxmlformats.org/officeDocument/2006/relationships/hyperlink" Target="https://nuns.rs/sta-je-sporno-u-predlozenim-izmenama-medijskih-zakona/" TargetMode="External"/><Relationship Id="rId3" Type="http://schemas.openxmlformats.org/officeDocument/2006/relationships/settings" Target="settings.xml"/><Relationship Id="rId21" Type="http://schemas.openxmlformats.org/officeDocument/2006/relationships/hyperlink" Target="https://www.parlament.gov.rs/upload/archive/files/cir/pdf/zakoni/14_saziv/1116-25.pdf" TargetMode="External"/><Relationship Id="rId7" Type="http://schemas.openxmlformats.org/officeDocument/2006/relationships/hyperlink" Target="https://mit.gov.rs/vest/sr/8433/odrzan-prvi-sastanak-radne-grupe-za-izradu-radne-verzije-nacrta-zakona-o-javnim-medijskim-servisima.php" TargetMode="External"/><Relationship Id="rId12" Type="http://schemas.openxmlformats.org/officeDocument/2006/relationships/hyperlink" Target="https://otvoreniparlament.rs/transkript/8075?page=9" TargetMode="External"/><Relationship Id="rId17" Type="http://schemas.openxmlformats.org/officeDocument/2006/relationships/hyperlink" Target="https://nuns.rs/izmene-medijskih-zakona-opasne-po-istrazivacke-novinare/" TargetMode="External"/><Relationship Id="rId2" Type="http://schemas.openxmlformats.org/officeDocument/2006/relationships/styles" Target="styles.xml"/><Relationship Id="rId16" Type="http://schemas.openxmlformats.org/officeDocument/2006/relationships/hyperlink" Target="https://serbia.osce.org/sites/default/files/documents/official_documents/2026/03/Javno%20ogla&#353;avanje%20i%20javne%20nabavke%20u%20medijskoj%20sferi.pdf" TargetMode="External"/><Relationship Id="rId20" Type="http://schemas.openxmlformats.org/officeDocument/2006/relationships/hyperlink" Target="https://www.parlament.gov.rs/upload/archive/files/cir/pdf/zakoni/14_saziv/1115-25.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rbija.gov.rs/prikaz/879610"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anem.org.rs/sr/strane/nuns-anem-i-lokal-pres-netransparentne-izmene-zakona-koje-urusavaju-slobodu-medija" TargetMode="External"/><Relationship Id="rId23" Type="http://schemas.openxmlformats.org/officeDocument/2006/relationships/fontTable" Target="fontTable.xml"/><Relationship Id="rId10" Type="http://schemas.openxmlformats.org/officeDocument/2006/relationships/hyperlink" Target="https://anem.org.rs/sr/strane/sastanak-u-mit-ne-moze-biti-zamena-za-obavezujucu-javnu-raspravu-o-predlozenim-nacrtima-medijskih-zakona" TargetMode="External"/><Relationship Id="rId19" Type="http://schemas.openxmlformats.org/officeDocument/2006/relationships/hyperlink" Target="https://nuns.rs/sta-je-sporno-u-predlozenim-izmenama-medijskih-zakona/" TargetMode="External"/><Relationship Id="rId4" Type="http://schemas.openxmlformats.org/officeDocument/2006/relationships/webSettings" Target="webSettings.xml"/><Relationship Id="rId9" Type="http://schemas.openxmlformats.org/officeDocument/2006/relationships/hyperlink" Target="https://mit.gov.rs/vest/sr/17070/ministarstvo-predstavilo-izmene-i-dopune-sva-tri-medijska-zakona.php" TargetMode="External"/><Relationship Id="rId14" Type="http://schemas.openxmlformats.org/officeDocument/2006/relationships/hyperlink" Target="https://enlargement.ec.europa.eu/serbia-report-2023_en" TargetMode="External"/><Relationship Id="rId22" Type="http://schemas.openxmlformats.org/officeDocument/2006/relationships/hyperlink" Target="https://www.parlament.gov.rs/upload/archive/files/cir/pdf/zakoni/14_saziv/924-2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5</Pages>
  <Words>2466</Words>
  <Characters>14650</Characters>
  <Application>Microsoft Office Word</Application>
  <DocSecurity>0</DocSecurity>
  <Lines>305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Misa</dc:creator>
  <cp:keywords/>
  <dc:description/>
  <cp:lastModifiedBy>Milena Mihajlovic Denic</cp:lastModifiedBy>
  <cp:revision>11</cp:revision>
  <dcterms:created xsi:type="dcterms:W3CDTF">2026-04-08T07:48:00Z</dcterms:created>
  <dcterms:modified xsi:type="dcterms:W3CDTF">2026-04-24T18:50:00Z</dcterms:modified>
</cp:coreProperties>
</file>